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9" w:rsidRDefault="006E5F36">
      <w:pPr>
        <w:spacing w:after="199" w:line="259" w:lineRule="auto"/>
        <w:ind w:left="0" w:firstLine="0"/>
        <w:jc w:val="left"/>
      </w:pPr>
      <w:bookmarkStart w:id="0" w:name="_GoBack"/>
      <w:r>
        <w:rPr>
          <w:b/>
          <w:sz w:val="28"/>
        </w:rPr>
        <w:t>COVID-19</w:t>
      </w:r>
      <w:r>
        <w:rPr>
          <w:b/>
          <w:sz w:val="22"/>
        </w:rPr>
        <w:t xml:space="preserve"> OLUKORRALE REAGEERIMISEKS LOODUD STRATEEGILISED PARTNERLUSED</w:t>
      </w:r>
      <w:r>
        <w:rPr>
          <w:b/>
          <w:sz w:val="28"/>
        </w:rPr>
        <w:t xml:space="preserve"> </w:t>
      </w:r>
    </w:p>
    <w:bookmarkEnd w:id="0"/>
    <w:p w:rsidR="00005619" w:rsidRDefault="006E5F36">
      <w:pPr>
        <w:spacing w:after="182" w:line="265" w:lineRule="auto"/>
        <w:ind w:left="-5"/>
        <w:jc w:val="left"/>
      </w:pPr>
      <w:r>
        <w:rPr>
          <w:b/>
          <w:sz w:val="22"/>
        </w:rPr>
        <w:t>M</w:t>
      </w:r>
      <w:r>
        <w:rPr>
          <w:b/>
        </w:rPr>
        <w:t xml:space="preserve">ILLISED ON </w:t>
      </w:r>
      <w:r>
        <w:rPr>
          <w:b/>
          <w:sz w:val="22"/>
        </w:rPr>
        <w:t>COVID-19</w:t>
      </w:r>
      <w:r>
        <w:rPr>
          <w:b/>
        </w:rPr>
        <w:t xml:space="preserve"> OLUKORRALE REAGEERIMISEKS LOODUD STRATEEGILISE PARTNERLUSE </w:t>
      </w:r>
      <w:r>
        <w:rPr>
          <w:b/>
        </w:rPr>
        <w:t>EESMÄRGID JA PRIORITEEDID</w:t>
      </w:r>
      <w:r>
        <w:rPr>
          <w:b/>
          <w:sz w:val="22"/>
        </w:rPr>
        <w:t>?</w:t>
      </w:r>
      <w:r>
        <w:rPr>
          <w:b/>
        </w:rPr>
        <w:t xml:space="preserve"> </w:t>
      </w:r>
      <w:r>
        <w:rPr>
          <w:b/>
          <w:sz w:val="22"/>
        </w:rPr>
        <w:t xml:space="preserve"> </w:t>
      </w:r>
    </w:p>
    <w:p w:rsidR="00005619" w:rsidRDefault="006E5F36">
      <w:pPr>
        <w:spacing w:after="1" w:line="235" w:lineRule="auto"/>
        <w:ind w:left="-5"/>
        <w:jc w:val="left"/>
      </w:pPr>
      <w:r>
        <w:t>COVID-19 pandeemia ei ole mitte üksnes piiranud viisi, kuidas inimesed üksteisega suhestuvad ja oma kõige põhilisemaid igapäevaseid ülesandeid täidavad, vaid sellel on olnud ka märkimisväärne mõju hariduse, koolituse ja noortep</w:t>
      </w:r>
      <w:r>
        <w:t xml:space="preserve">oliitika korrapärasele elluviimisele. Sellisel meie ühiskondade jaoks kriitilisel ajal on juurdepääs haridusele osutunud rohkem kui iialgi varem oluliseks kiire taastumise tagamisel, edendades samas võrdseid võimalusi mitmesuguse taustaga inimeste seas.  </w:t>
      </w:r>
    </w:p>
    <w:p w:rsidR="00005619" w:rsidRDefault="006E5F36">
      <w:pPr>
        <w:spacing w:after="0" w:line="259" w:lineRule="auto"/>
        <w:ind w:left="0" w:firstLine="0"/>
        <w:jc w:val="left"/>
      </w:pPr>
      <w:r>
        <w:t xml:space="preserve"> </w:t>
      </w:r>
    </w:p>
    <w:p w:rsidR="00005619" w:rsidRDefault="006E5F36">
      <w:pPr>
        <w:spacing w:after="1" w:line="235" w:lineRule="auto"/>
        <w:ind w:left="-5"/>
        <w:jc w:val="left"/>
      </w:pPr>
      <w:r>
        <w:t>Neid erandlikke asjaolusid arvesse võttes võtab programm „Erasmus</w:t>
      </w:r>
      <w:proofErr w:type="gramStart"/>
      <w:r>
        <w:t>+“ vastu</w:t>
      </w:r>
      <w:proofErr w:type="gramEnd"/>
      <w:r>
        <w:t xml:space="preserve"> väljakutse kinnitada oma rolli ELi peamise vahendina, millega toetatakse innovatsiooni hariduse, koolituse, noorte ja spordi vallas, aga pakutakse ka võimalusi inimeste isiklikuks,</w:t>
      </w:r>
      <w:r>
        <w:t xml:space="preserve"> sotsiaal-hariduslikuks ja professionaalseks arenguks Euroopas ja mujal, et mitte kedagi kõrvale jätta.  </w:t>
      </w:r>
    </w:p>
    <w:p w:rsidR="00005619" w:rsidRDefault="006E5F36">
      <w:pPr>
        <w:spacing w:after="0" w:line="259" w:lineRule="auto"/>
        <w:ind w:left="0" w:firstLine="0"/>
        <w:jc w:val="left"/>
      </w:pPr>
      <w:r>
        <w:t xml:space="preserve"> </w:t>
      </w:r>
    </w:p>
    <w:p w:rsidR="00005619" w:rsidRDefault="006E5F36">
      <w:pPr>
        <w:spacing w:after="113"/>
        <w:ind w:left="-5" w:right="479"/>
      </w:pPr>
      <w:r>
        <w:t>Selleks et reageerida COVID-19 pandeemiast põhjustatud olukorrale, toetatakse 2020. aastal programmiga „Erasmus</w:t>
      </w:r>
      <w:proofErr w:type="gramStart"/>
      <w:r>
        <w:t>+“ järgmist</w:t>
      </w:r>
      <w:proofErr w:type="gramEnd"/>
      <w:r>
        <w:t xml:space="preserve"> tegevust. </w:t>
      </w:r>
    </w:p>
    <w:p w:rsidR="00005619" w:rsidRDefault="006E5F36">
      <w:pPr>
        <w:spacing w:after="18" w:line="259" w:lineRule="auto"/>
        <w:ind w:left="0" w:firstLine="0"/>
        <w:jc w:val="left"/>
      </w:pPr>
      <w:r>
        <w:t xml:space="preserve"> </w:t>
      </w:r>
    </w:p>
    <w:p w:rsidR="00005619" w:rsidRDefault="006E5F36">
      <w:pPr>
        <w:numPr>
          <w:ilvl w:val="0"/>
          <w:numId w:val="2"/>
        </w:numPr>
        <w:spacing w:after="113"/>
        <w:ind w:right="30" w:hanging="361"/>
      </w:pPr>
      <w:r>
        <w:rPr>
          <w:b/>
        </w:rPr>
        <w:t xml:space="preserve">Digihariduseks valmisolekut käsitlevad partnerlused (koolihariduse, kutsehariduse ja -koolituse ning kõrghariduse valdkonnas): </w:t>
      </w:r>
      <w:r>
        <w:t>nende projektide eesmärk</w:t>
      </w:r>
      <w:r>
        <w:rPr>
          <w:b/>
        </w:rPr>
        <w:t xml:space="preserve"> </w:t>
      </w:r>
      <w:r>
        <w:t xml:space="preserve">on varustada haridus- ja koolitussüsteeme selleks, et nad tuleksid toime probleemidega, mis on tekkinud </w:t>
      </w:r>
      <w:r>
        <w:t>seoses hiljutise äkilise üleminekuga veebipõhisele õppele ja kaugõppele, sealhulgas toetada õpetajaid, et nad arendaksid digipädevust ja kaitseksid õppimisvõimaluste kaasavat olemust.</w:t>
      </w:r>
      <w:r>
        <w:rPr>
          <w:b/>
        </w:rPr>
        <w:t xml:space="preserve"> </w:t>
      </w:r>
    </w:p>
    <w:p w:rsidR="00005619" w:rsidRDefault="006E5F36">
      <w:pPr>
        <w:ind w:left="731" w:right="30"/>
      </w:pPr>
      <w:r>
        <w:t xml:space="preserve">Praegune COVID-19 kriis on oluliselt kiirendanud vajadust haridus- </w:t>
      </w:r>
      <w:r>
        <w:t>ja koolitussüsteemide ajakohastamise ja digitaliseerimise järele kogu Euroopas. Eesmärk on tugevdada haridus- ja koolitusasutuste suutlikkust pakkuda kvaliteetset kaasavat digiharidust. Keskendutakse suutlikkuse suurendamisele, et rakendada veebipõhist, ko</w:t>
      </w:r>
      <w:r>
        <w:t xml:space="preserve">mbineeritud ja kaugõpetamist ja -õpet; et arendada õpetajate digitaalseid pedagoogilisi oskusi, mis võimaldab neil pakkuda kvaliteetset kaasavat digiharidust; ning et arendada ja/või kasutada kvaliteetset digisisu, nagu uuenduslikud veebipõhised ressursid </w:t>
      </w:r>
      <w:r>
        <w:t xml:space="preserve">ja vahendid. Partnerlused edendavad ELi institutsioonide vahelist võrgustikutööd, ressursside ja eksperditeadmiste jagamist ning koostööd digitehnoloogia pakkujatega ja ekspertidega haridustehnika vallas ning asjaomaseid pedagoogilisi tavasid, et arendada </w:t>
      </w:r>
      <w:r>
        <w:t xml:space="preserve">sihtotstarbelisi lahendusi, mis on kohandatud kohalikele probleemidele ja tegelikkusele. </w:t>
      </w:r>
    </w:p>
    <w:p w:rsidR="00005619" w:rsidRDefault="006E5F36" w:rsidP="00EF021C">
      <w:pPr>
        <w:spacing w:after="133" w:line="259" w:lineRule="auto"/>
        <w:ind w:left="0" w:firstLine="0"/>
        <w:jc w:val="left"/>
      </w:pPr>
      <w:r>
        <w:rPr>
          <w:b/>
        </w:rPr>
        <w:t xml:space="preserve"> </w:t>
      </w:r>
    </w:p>
    <w:p w:rsidR="00005619" w:rsidRDefault="006E5F36">
      <w:pPr>
        <w:numPr>
          <w:ilvl w:val="0"/>
          <w:numId w:val="2"/>
        </w:numPr>
        <w:spacing w:after="51"/>
        <w:ind w:right="30" w:hanging="361"/>
      </w:pPr>
      <w:r>
        <w:rPr>
          <w:b/>
        </w:rPr>
        <w:t xml:space="preserve">Loovust edendavad partnerlused (noorte, koolihariduse ning täiskasvanuõppe valdkonnas): </w:t>
      </w:r>
      <w:r>
        <w:t>COVID-19 kriis on eriti raskelt mõjutanud kultuuri- ja loomesektorit. Loovus</w:t>
      </w:r>
      <w:r>
        <w:t>t edendavate partnerluste eesmärk on kaasata formaal-, informaalse ja mitteformaalse hariduse valdkonna organisatsioone koos kultuuri- ja loomesektori organisatsioonidega, et tõsta Euroopa teadlikkust ja julgustada praeguse põlvkonna ja tulevaste põlvkonda</w:t>
      </w:r>
      <w:r>
        <w:t xml:space="preserve">de inimesi – olenemata sotsiaalsest ja kultuuritaustast – olema edukad uuendajad oma kohalikus keskkonnas. Üks eesmärk on tagada noortele ja täiskasvanutele vajalikud vahendid ja pädevused, mida on vaja ennenägematute ohtude ja sotsiaalsete väljakutsetega </w:t>
      </w:r>
      <w:r>
        <w:t>toimetulekuks loovate ja uuenduslike lahenduste leidmiseks, aga ka kriitilises kontekstis saadaval olevate võimaluste tutvustamiseks. Selle meetme eesmärk on parandada selliste oskuste ja pädevuste arendamist, mis on mõeldud loovuse toetamiseks, ning edend</w:t>
      </w:r>
      <w:r>
        <w:t xml:space="preserve">ada noorsootöö kvaliteeti, uuendamist ja tunnustamist, mis toetab noorte loomepotentsiaali, panustades seega kultuuri- ja loomesektori taastumise püsivusse.  </w:t>
      </w:r>
    </w:p>
    <w:p w:rsidR="00005619" w:rsidRDefault="006E5F36">
      <w:pPr>
        <w:spacing w:after="0" w:line="259" w:lineRule="auto"/>
        <w:ind w:left="0" w:firstLine="0"/>
        <w:jc w:val="left"/>
      </w:pPr>
      <w:r>
        <w:rPr>
          <w:sz w:val="24"/>
        </w:rPr>
        <w:t xml:space="preserve"> </w:t>
      </w:r>
    </w:p>
    <w:p w:rsidR="00005619" w:rsidRDefault="006E5F36">
      <w:pPr>
        <w:ind w:left="731" w:right="30"/>
      </w:pPr>
      <w:r>
        <w:t>Nende projektidega tugevdatakse sektoriülest koostööd, keskendudes loovusele, Euroopa kodakonds</w:t>
      </w:r>
      <w:r>
        <w:t>usele ja kõikide kodanike kultuuriteadlikkusele. Selle meetme kaudu saab programmiga suurendada ka sotsiaalset kaasatust kunstide kaudu, edendades uuenduslikke osaluspõhiseid ja kultuuridevahelise dialoogiga seotud lähenemisviise, mis ühendavad hariduse, k</w:t>
      </w:r>
      <w:r>
        <w:t xml:space="preserve">oolituse ja noorte valdkonna sidusrühmad kultuuri- ja loomesektori kohaliku tasandi organisatsioonidega.   </w:t>
      </w:r>
    </w:p>
    <w:p w:rsidR="00005619" w:rsidRDefault="006E5F36">
      <w:pPr>
        <w:spacing w:after="0" w:line="259" w:lineRule="auto"/>
        <w:ind w:left="721" w:firstLine="0"/>
        <w:jc w:val="left"/>
      </w:pPr>
      <w:r>
        <w:rPr>
          <w:b/>
        </w:rPr>
        <w:t xml:space="preserve"> </w:t>
      </w:r>
    </w:p>
    <w:p w:rsidR="00005619" w:rsidRDefault="006E5F36">
      <w:pPr>
        <w:ind w:left="731" w:right="30"/>
      </w:pPr>
      <w:r>
        <w:t>Partnerlused formaal-, informaalse ja mitteformaalse hariduse sektoriga, mis keskenduvad noortele ja professionaalidele, võivad aidata käsitleda n</w:t>
      </w:r>
      <w:r>
        <w:t>ii suuri ühiskondlikke väljakutseid, millega kultuuri- ja loomesektorid selle üleilmse kriisi tõttu tegelema peavad, kui ka võimalusi, mida kriis on esile toonud. Lõpetuseks peaks see sektoritevaheline koostöö täiendama jõupingutusi, mille eesmärk on aidat</w:t>
      </w:r>
      <w:r>
        <w:t xml:space="preserve">a kultuuri- ja loomesektoril kriisist taastuda keskkonnahoidlikuma, digitaalsema ja vastupanuvõimelisemana, panustades seeläbi ka ELi strateegilistesse prioriteetidesse. </w:t>
      </w:r>
    </w:p>
    <w:p w:rsidR="00005619" w:rsidRDefault="006E5F36">
      <w:pPr>
        <w:spacing w:after="284" w:line="259" w:lineRule="auto"/>
        <w:ind w:left="721" w:firstLine="0"/>
        <w:jc w:val="left"/>
      </w:pPr>
      <w:r>
        <w:lastRenderedPageBreak/>
        <w:t xml:space="preserve"> </w:t>
      </w:r>
    </w:p>
    <w:p w:rsidR="00005619" w:rsidRDefault="006E5F36">
      <w:pPr>
        <w:spacing w:after="182" w:line="265" w:lineRule="auto"/>
        <w:ind w:left="-5"/>
        <w:jc w:val="left"/>
      </w:pPr>
      <w:r>
        <w:rPr>
          <w:b/>
          <w:sz w:val="22"/>
        </w:rPr>
        <w:t>M</w:t>
      </w:r>
      <w:r>
        <w:rPr>
          <w:b/>
        </w:rPr>
        <w:t xml:space="preserve">ILLISED ON </w:t>
      </w:r>
      <w:r>
        <w:rPr>
          <w:b/>
          <w:sz w:val="22"/>
        </w:rPr>
        <w:t>COVID-19</w:t>
      </w:r>
      <w:r>
        <w:rPr>
          <w:b/>
        </w:rPr>
        <w:t xml:space="preserve"> OLUKORRALE REAGEERIMISEKS LOODUD STRATEEGILISE PARTNERLUSE SIH</w:t>
      </w:r>
      <w:r>
        <w:rPr>
          <w:b/>
        </w:rPr>
        <w:t>TRÜHMAD JA KÄSITLETAVAD PRIORITEEDID</w:t>
      </w:r>
      <w:r>
        <w:rPr>
          <w:b/>
          <w:sz w:val="22"/>
        </w:rPr>
        <w:t>?</w:t>
      </w:r>
      <w:r>
        <w:rPr>
          <w:b/>
        </w:rPr>
        <w:t xml:space="preserve"> </w:t>
      </w:r>
      <w:r>
        <w:rPr>
          <w:b/>
          <w:sz w:val="22"/>
        </w:rPr>
        <w:t xml:space="preserve"> </w:t>
      </w:r>
    </w:p>
    <w:p w:rsidR="00005619" w:rsidRDefault="006E5F36">
      <w:pPr>
        <w:ind w:left="-5" w:right="30"/>
      </w:pPr>
      <w:r>
        <w:t>Olenemata projekti mõjuväljast, on strateegilised partnerlused avatud iga liiki organisatsioonidele, kes tegutsevad ükskõik millises hariduse, koolituse ja noortega seotud valdkonnas või muudes sotsiaal-majanduslikes</w:t>
      </w:r>
      <w:r>
        <w:t xml:space="preserve"> sektorites, ning valdkonnaüleselt tegutsevatele organisatsioonidele (nt kohalikud ja piirkondlikud omavalitsused, tunnustamis- ja valideerimiskeskused, kaubanduskojad, kaubandusorganisatsioonid, nõustamiskeskused, kultuuriorganisatsioonid). Sõltuvalt proj</w:t>
      </w:r>
      <w:r>
        <w:t>ekti prioriteedist ja eesmärkidest tuleks strateegilisse partnerlusse kaasata kõige sobivamad ja eripalgelisemad partnerid, et kasutada ära nende erinevaid kogemusi, profiile ja eripädevust ning saavutada projekti raames asjakohaseid ja kvaliteetseid tulem</w:t>
      </w:r>
      <w:r>
        <w:t xml:space="preserve">usi.  </w:t>
      </w:r>
    </w:p>
    <w:p w:rsidR="00005619" w:rsidRDefault="006E5F36">
      <w:pPr>
        <w:spacing w:after="0" w:line="259" w:lineRule="auto"/>
        <w:ind w:left="0" w:firstLine="0"/>
        <w:jc w:val="left"/>
      </w:pPr>
      <w:r>
        <w:t xml:space="preserve"> </w:t>
      </w:r>
    </w:p>
    <w:p w:rsidR="00005619" w:rsidRDefault="006E5F36">
      <w:pPr>
        <w:ind w:left="-5" w:right="30"/>
      </w:pPr>
      <w:r>
        <w:t xml:space="preserve">Toetuse saamiseks peavad projektid käsitlema ühte järgmistest prioriteetidest. </w:t>
      </w:r>
    </w:p>
    <w:p w:rsidR="00005619" w:rsidRDefault="006E5F36">
      <w:pPr>
        <w:spacing w:after="18" w:line="259" w:lineRule="auto"/>
        <w:ind w:left="0" w:firstLine="0"/>
        <w:jc w:val="left"/>
      </w:pPr>
      <w:r>
        <w:t xml:space="preserve"> </w:t>
      </w:r>
    </w:p>
    <w:p w:rsidR="00005619" w:rsidRDefault="006E5F36">
      <w:pPr>
        <w:numPr>
          <w:ilvl w:val="0"/>
          <w:numId w:val="3"/>
        </w:numPr>
        <w:ind w:right="35" w:hanging="360"/>
      </w:pPr>
      <w:r>
        <w:rPr>
          <w:b/>
        </w:rPr>
        <w:t xml:space="preserve">Uuenduslikud tavad digitaalajastul: </w:t>
      </w:r>
      <w:r>
        <w:t>programmiga „Erasmus</w:t>
      </w:r>
      <w:proofErr w:type="gramStart"/>
      <w:r>
        <w:t>+“ toetatakse</w:t>
      </w:r>
      <w:proofErr w:type="gramEnd"/>
      <w:r>
        <w:t xml:space="preserve"> digitehnoloogia kasutuselevõttu ning uuenduslikke ja avatud pedagoogikasuundumusi hariduse, koolituse, noorte ja spordi vallas. Erilist tähelepanu pööratakse soolise võrdõiguslikkuse edendamisele ja alaesindatud rühmade ju</w:t>
      </w:r>
      <w:r>
        <w:t>urdepääsu ja nendepoolse kasutamisega seotud erinevuste käsitlemisele. Programmiga toetatakse ka Euroopa õpetajate, kodanike ja organisatsioonide digipädevuse raamistike kasutamist, sealhulgas avatud õppematerjalide, avatud õpikute ning tasuta ja avatud lä</w:t>
      </w:r>
      <w:r>
        <w:t>htekoodiga haridustarkvara arendamist ja kasutamist. Prioriteetseks peetakse meetmeid, millega edendatakse õpetamiseks, koolitamiseks, õppimiseks ja hindamiseks mõeldud uuenduslikke meetodeid ja vahendeid kui elukestva õppe juhtivaid tegureid. Programmi „E</w:t>
      </w:r>
      <w:r>
        <w:t>rasmus</w:t>
      </w:r>
      <w:proofErr w:type="gramStart"/>
      <w:r>
        <w:t>+“ tuleb</w:t>
      </w:r>
      <w:proofErr w:type="gramEnd"/>
      <w:r>
        <w:t xml:space="preserve"> jätkuvalt kasutada selleks, et toetada COVID-19 pandeemiast taastumise protsessi ja näidata vastutustundlikkust, kohanemisvõimet ja paindlikkust. Seetõttu peetakse prioriteetseks meetmeid, millega aidatakse kaasa digihariduseks valmisoleku e</w:t>
      </w:r>
      <w:r>
        <w:t xml:space="preserve">dendamisele ja kriisi mõju leevendamisele mõnedes kõige enam kannatada saanud sektorites. </w:t>
      </w:r>
    </w:p>
    <w:p w:rsidR="00005619" w:rsidRDefault="006E5F36">
      <w:pPr>
        <w:spacing w:after="18" w:line="259" w:lineRule="auto"/>
        <w:ind w:left="0" w:firstLine="0"/>
        <w:jc w:val="left"/>
      </w:pPr>
      <w:r>
        <w:t xml:space="preserve"> </w:t>
      </w:r>
    </w:p>
    <w:p w:rsidR="00005619" w:rsidRDefault="006E5F36">
      <w:pPr>
        <w:numPr>
          <w:ilvl w:val="0"/>
          <w:numId w:val="3"/>
        </w:numPr>
        <w:ind w:right="35" w:hanging="360"/>
      </w:pPr>
      <w:r>
        <w:rPr>
          <w:b/>
        </w:rPr>
        <w:t>Oskuste arendamine ja kaasamine loovuse ja kunstide kaudu.</w:t>
      </w:r>
      <w:r>
        <w:t xml:space="preserve"> Prioriteetseks peetakse õppetegevusi ja elukestvat õpet, informaalset ja mitteformaalset õpet ning noors</w:t>
      </w:r>
      <w:r>
        <w:t xml:space="preserve">ootööd (sealhulgas digitaalset noorsootööd) koos kultuurilise ja loomingulise komponendiga, mille eesmärk on aidata noorte põlvkondadel ja professionaalidel omandada oskusi ja pädevusi, sealhulgas digipädevust, mis tugevdavad loomingulisust hariduses, aga </w:t>
      </w:r>
      <w:r>
        <w:t>edendavad ka noorsootöö kvaliteeti, innovatsiooni ja tunnustamist, mis toetab noorte loomingulist potentsiaali, aidates seega kaasa kultuuri- ja loomesektori vastupanuvõimele. Prioriteetseks peetakse meetmeid, mis aitavad kaasa töökohtade loomisele, kestli</w:t>
      </w:r>
      <w:r>
        <w:t>kule arengule ja sotsiaalsele kaasatusele kunstide kaudu, edendades uuenduslikke osaluspõhiseid ja kultuuridevahelise dialoogiga seotud lähenemisviise, mis ühendavad hariduse, koolituse ja noorte sidusrühmad kultuuri- ja loomesektori organisatsioonidega.</w:t>
      </w:r>
      <w:r>
        <w:rPr>
          <w:b/>
        </w:rPr>
        <w:t xml:space="preserve"> </w:t>
      </w:r>
    </w:p>
    <w:p w:rsidR="00005619" w:rsidRDefault="006E5F36">
      <w:pPr>
        <w:spacing w:after="0" w:line="259" w:lineRule="auto"/>
        <w:ind w:left="0" w:firstLine="0"/>
        <w:jc w:val="left"/>
      </w:pPr>
      <w:r>
        <w:rPr>
          <w:b/>
        </w:rPr>
        <w:t xml:space="preserve"> </w:t>
      </w:r>
    </w:p>
    <w:p w:rsidR="00005619" w:rsidRDefault="006E5F36">
      <w:pPr>
        <w:spacing w:after="0" w:line="259" w:lineRule="auto"/>
        <w:ind w:left="0" w:firstLine="0"/>
        <w:jc w:val="left"/>
      </w:pPr>
      <w:r>
        <w:t xml:space="preserve"> </w:t>
      </w:r>
    </w:p>
    <w:p w:rsidR="00005619" w:rsidRDefault="006E5F36">
      <w:pPr>
        <w:spacing w:after="306" w:line="235" w:lineRule="auto"/>
        <w:ind w:left="-5"/>
        <w:jc w:val="left"/>
      </w:pPr>
      <w:r>
        <w:t>Lisaks sellele võidakse projektide puhul keskenduda muudele horisontaalsetele või sektoripõhistele prioriteetidele, mis on määratletud eelmises jaotises „Hariduse, koolituse ja noorte valdkonna strateegilised partnerlused – millised on strateegilise pa</w:t>
      </w:r>
      <w:r>
        <w:t xml:space="preserve">rtnerluse eesmärgid ja </w:t>
      </w:r>
      <w:proofErr w:type="gramStart"/>
      <w:r>
        <w:t>prioriteedid?“</w:t>
      </w:r>
      <w:proofErr w:type="gramEnd"/>
      <w:r>
        <w:t xml:space="preserve">. . </w:t>
      </w:r>
    </w:p>
    <w:p w:rsidR="00005619" w:rsidRDefault="006E5F36">
      <w:pPr>
        <w:spacing w:after="182" w:line="265" w:lineRule="auto"/>
        <w:ind w:left="-5"/>
        <w:jc w:val="left"/>
      </w:pPr>
      <w:r>
        <w:rPr>
          <w:b/>
          <w:sz w:val="22"/>
        </w:rPr>
        <w:t>M</w:t>
      </w:r>
      <w:r>
        <w:rPr>
          <w:b/>
        </w:rPr>
        <w:t xml:space="preserve">ILLISEID TEGEVUSI </w:t>
      </w:r>
      <w:r>
        <w:rPr>
          <w:b/>
          <w:sz w:val="22"/>
        </w:rPr>
        <w:t>COVID-19</w:t>
      </w:r>
      <w:r>
        <w:rPr>
          <w:b/>
        </w:rPr>
        <w:t xml:space="preserve"> OLUKORRALE REAGEERIMISEKS LOODUD STRATEEGILISE PARTNERLUSE RAAMES TOETATAKSE</w:t>
      </w:r>
      <w:r>
        <w:rPr>
          <w:b/>
          <w:sz w:val="22"/>
        </w:rPr>
        <w:t>?</w:t>
      </w:r>
      <w:r>
        <w:rPr>
          <w:b/>
        </w:rPr>
        <w:t xml:space="preserve"> </w:t>
      </w:r>
      <w:r>
        <w:rPr>
          <w:b/>
          <w:sz w:val="22"/>
        </w:rPr>
        <w:t xml:space="preserve"> </w:t>
      </w:r>
    </w:p>
    <w:p w:rsidR="00EF021C" w:rsidRDefault="006E5F36">
      <w:pPr>
        <w:ind w:left="-5" w:right="30"/>
      </w:pPr>
      <w:r>
        <w:t>Projekti kestel võidakse olenevalt strateegilise partnerluse liigist viia selle raames tavaliselt ellu mit</w:t>
      </w:r>
      <w:r>
        <w:t xml:space="preserve">mesuguseid tegevusi, näiteks: </w:t>
      </w:r>
    </w:p>
    <w:p w:rsidR="00EF021C" w:rsidRDefault="00EF021C">
      <w:pPr>
        <w:spacing w:after="160" w:line="259" w:lineRule="auto"/>
        <w:ind w:left="0" w:firstLine="0"/>
        <w:jc w:val="left"/>
      </w:pPr>
      <w:r>
        <w:br w:type="page"/>
      </w:r>
    </w:p>
    <w:p w:rsidR="00005619" w:rsidRDefault="00005619">
      <w:pPr>
        <w:ind w:left="-5" w:right="30"/>
      </w:pPr>
    </w:p>
    <w:p w:rsidR="00005619" w:rsidRDefault="006E5F36">
      <w:pPr>
        <w:spacing w:after="0" w:line="259" w:lineRule="auto"/>
        <w:ind w:left="0" w:firstLine="0"/>
        <w:jc w:val="left"/>
      </w:pPr>
      <w:r>
        <w:t xml:space="preserve"> </w:t>
      </w:r>
    </w:p>
    <w:tbl>
      <w:tblPr>
        <w:tblStyle w:val="TableGrid"/>
        <w:tblW w:w="9296" w:type="dxa"/>
        <w:tblInd w:w="-110" w:type="dxa"/>
        <w:tblCellMar>
          <w:top w:w="47" w:type="dxa"/>
          <w:left w:w="0" w:type="dxa"/>
          <w:bottom w:w="0" w:type="dxa"/>
          <w:right w:w="69" w:type="dxa"/>
        </w:tblCellMar>
        <w:tblLook w:val="04A0" w:firstRow="1" w:lastRow="0" w:firstColumn="1" w:lastColumn="0" w:noHBand="0" w:noVBand="1"/>
      </w:tblPr>
      <w:tblGrid>
        <w:gridCol w:w="470"/>
        <w:gridCol w:w="8826"/>
      </w:tblGrid>
      <w:tr w:rsidR="00005619">
        <w:trPr>
          <w:trHeight w:val="321"/>
        </w:trPr>
        <w:tc>
          <w:tcPr>
            <w:tcW w:w="470" w:type="dxa"/>
            <w:tcBorders>
              <w:top w:val="single" w:sz="4" w:space="0" w:color="000000"/>
              <w:left w:val="single" w:sz="4" w:space="0" w:color="000000"/>
              <w:bottom w:val="nil"/>
              <w:right w:val="nil"/>
            </w:tcBorders>
          </w:tcPr>
          <w:p w:rsidR="00005619" w:rsidRDefault="006E5F36">
            <w:pPr>
              <w:spacing w:after="0" w:line="259" w:lineRule="auto"/>
              <w:ind w:left="110" w:firstLine="0"/>
              <w:jc w:val="left"/>
            </w:pPr>
            <w:r>
              <w:rPr>
                <w:rFonts w:ascii="Wingdings" w:eastAsia="Wingdings" w:hAnsi="Wingdings" w:cs="Wingdings"/>
              </w:rPr>
              <w:t></w:t>
            </w:r>
            <w:r>
              <w:rPr>
                <w:rFonts w:ascii="Arial" w:eastAsia="Arial" w:hAnsi="Arial" w:cs="Arial"/>
              </w:rPr>
              <w:t xml:space="preserve"> </w:t>
            </w:r>
          </w:p>
        </w:tc>
        <w:tc>
          <w:tcPr>
            <w:tcW w:w="8826" w:type="dxa"/>
            <w:tcBorders>
              <w:top w:val="single" w:sz="4" w:space="0" w:color="000000"/>
              <w:left w:val="nil"/>
              <w:bottom w:val="nil"/>
              <w:right w:val="single" w:sz="4" w:space="0" w:color="000000"/>
            </w:tcBorders>
          </w:tcPr>
          <w:p w:rsidR="00005619" w:rsidRDefault="006E5F36">
            <w:pPr>
              <w:spacing w:after="0" w:line="259" w:lineRule="auto"/>
              <w:ind w:left="0" w:firstLine="0"/>
              <w:jc w:val="left"/>
            </w:pPr>
            <w:r>
              <w:t xml:space="preserve">tegevused, millega tugevdatakse organisatsioonidevahelist </w:t>
            </w:r>
            <w:r>
              <w:rPr>
                <w:b/>
              </w:rPr>
              <w:t>koostööd ja võrgustikutööd</w:t>
            </w:r>
            <w:r>
              <w:t xml:space="preserve">; </w:t>
            </w:r>
          </w:p>
        </w:tc>
      </w:tr>
      <w:tr w:rsidR="00005619">
        <w:trPr>
          <w:trHeight w:val="562"/>
        </w:trPr>
        <w:tc>
          <w:tcPr>
            <w:tcW w:w="470" w:type="dxa"/>
            <w:tcBorders>
              <w:top w:val="nil"/>
              <w:left w:val="single" w:sz="4" w:space="0" w:color="000000"/>
              <w:bottom w:val="nil"/>
              <w:right w:val="nil"/>
            </w:tcBorders>
          </w:tcPr>
          <w:p w:rsidR="00005619" w:rsidRDefault="006E5F36">
            <w:pPr>
              <w:spacing w:after="0" w:line="259" w:lineRule="auto"/>
              <w:ind w:left="110" w:firstLine="0"/>
              <w:jc w:val="left"/>
            </w:pPr>
            <w:r>
              <w:rPr>
                <w:rFonts w:ascii="Wingdings" w:eastAsia="Wingdings" w:hAnsi="Wingdings" w:cs="Wingdings"/>
              </w:rPr>
              <w:t></w:t>
            </w:r>
            <w:r>
              <w:rPr>
                <w:rFonts w:ascii="Arial" w:eastAsia="Arial" w:hAnsi="Arial" w:cs="Arial"/>
              </w:rPr>
              <w:t xml:space="preserve"> </w:t>
            </w:r>
          </w:p>
        </w:tc>
        <w:tc>
          <w:tcPr>
            <w:tcW w:w="8826" w:type="dxa"/>
            <w:tcBorders>
              <w:top w:val="nil"/>
              <w:left w:val="nil"/>
              <w:bottom w:val="nil"/>
              <w:right w:val="single" w:sz="4" w:space="0" w:color="000000"/>
            </w:tcBorders>
          </w:tcPr>
          <w:p w:rsidR="00005619" w:rsidRDefault="006E5F36">
            <w:pPr>
              <w:spacing w:after="0" w:line="259" w:lineRule="auto"/>
              <w:ind w:left="0" w:firstLine="0"/>
              <w:jc w:val="left"/>
            </w:pPr>
            <w:r>
              <w:t xml:space="preserve">tegevused, millega toetatakse hariduse, koolituse ja noorte valdkonnas </w:t>
            </w:r>
            <w:r>
              <w:rPr>
                <w:b/>
              </w:rPr>
              <w:t>uuenduslike tavade</w:t>
            </w:r>
            <w:r>
              <w:t xml:space="preserve"> katsetamist ja/või elluviimist;  </w:t>
            </w:r>
          </w:p>
        </w:tc>
      </w:tr>
      <w:tr w:rsidR="00005619">
        <w:trPr>
          <w:trHeight w:val="559"/>
        </w:trPr>
        <w:tc>
          <w:tcPr>
            <w:tcW w:w="470" w:type="dxa"/>
            <w:tcBorders>
              <w:top w:val="nil"/>
              <w:left w:val="single" w:sz="4" w:space="0" w:color="000000"/>
              <w:bottom w:val="nil"/>
              <w:right w:val="nil"/>
            </w:tcBorders>
          </w:tcPr>
          <w:p w:rsidR="00005619" w:rsidRDefault="006E5F36">
            <w:pPr>
              <w:spacing w:after="0" w:line="259" w:lineRule="auto"/>
              <w:ind w:left="110" w:firstLine="0"/>
              <w:jc w:val="left"/>
            </w:pPr>
            <w:r>
              <w:rPr>
                <w:rFonts w:ascii="Wingdings" w:eastAsia="Wingdings" w:hAnsi="Wingdings" w:cs="Wingdings"/>
              </w:rPr>
              <w:t></w:t>
            </w:r>
            <w:r>
              <w:rPr>
                <w:rFonts w:ascii="Arial" w:eastAsia="Arial" w:hAnsi="Arial" w:cs="Arial"/>
              </w:rPr>
              <w:t xml:space="preserve"> </w:t>
            </w:r>
          </w:p>
        </w:tc>
        <w:tc>
          <w:tcPr>
            <w:tcW w:w="8826" w:type="dxa"/>
            <w:tcBorders>
              <w:top w:val="nil"/>
              <w:left w:val="nil"/>
              <w:bottom w:val="nil"/>
              <w:right w:val="single" w:sz="4" w:space="0" w:color="000000"/>
            </w:tcBorders>
          </w:tcPr>
          <w:p w:rsidR="00005619" w:rsidRDefault="006E5F36">
            <w:pPr>
              <w:spacing w:after="0" w:line="259" w:lineRule="auto"/>
              <w:ind w:left="0" w:firstLine="0"/>
            </w:pPr>
            <w:r>
              <w:t xml:space="preserve">tegevused, millega hõlbustatakse formaalõppe, mitteformaalse õppe ja informaalse õppe kaudu omandatud </w:t>
            </w:r>
            <w:r>
              <w:rPr>
                <w:b/>
              </w:rPr>
              <w:t>teadmiste, oskuste ja pädevuste</w:t>
            </w:r>
            <w:r>
              <w:t xml:space="preserve"> </w:t>
            </w:r>
            <w:r>
              <w:rPr>
                <w:b/>
              </w:rPr>
              <w:t>tunnustamist ja valideerimist</w:t>
            </w:r>
            <w:r>
              <w:t xml:space="preserve">;  </w:t>
            </w:r>
          </w:p>
        </w:tc>
      </w:tr>
      <w:tr w:rsidR="00005619">
        <w:trPr>
          <w:trHeight w:val="559"/>
        </w:trPr>
        <w:tc>
          <w:tcPr>
            <w:tcW w:w="470" w:type="dxa"/>
            <w:tcBorders>
              <w:top w:val="nil"/>
              <w:left w:val="single" w:sz="4" w:space="0" w:color="000000"/>
              <w:bottom w:val="nil"/>
              <w:right w:val="nil"/>
            </w:tcBorders>
          </w:tcPr>
          <w:p w:rsidR="00005619" w:rsidRDefault="006E5F36">
            <w:pPr>
              <w:spacing w:after="0" w:line="259" w:lineRule="auto"/>
              <w:ind w:left="110" w:firstLine="0"/>
              <w:jc w:val="left"/>
            </w:pPr>
            <w:r>
              <w:rPr>
                <w:rFonts w:ascii="Wingdings" w:eastAsia="Wingdings" w:hAnsi="Wingdings" w:cs="Wingdings"/>
              </w:rPr>
              <w:t></w:t>
            </w:r>
            <w:r>
              <w:rPr>
                <w:rFonts w:ascii="Arial" w:eastAsia="Arial" w:hAnsi="Arial" w:cs="Arial"/>
              </w:rPr>
              <w:t xml:space="preserve"> </w:t>
            </w:r>
          </w:p>
        </w:tc>
        <w:tc>
          <w:tcPr>
            <w:tcW w:w="8826" w:type="dxa"/>
            <w:tcBorders>
              <w:top w:val="nil"/>
              <w:left w:val="nil"/>
              <w:bottom w:val="nil"/>
              <w:right w:val="single" w:sz="4" w:space="0" w:color="000000"/>
            </w:tcBorders>
          </w:tcPr>
          <w:p w:rsidR="00005619" w:rsidRDefault="006E5F36">
            <w:pPr>
              <w:spacing w:after="0" w:line="259" w:lineRule="auto"/>
              <w:ind w:left="0" w:firstLine="0"/>
            </w:pPr>
            <w:r>
              <w:t xml:space="preserve">tegevused, millega edendatakse </w:t>
            </w:r>
            <w:r>
              <w:rPr>
                <w:b/>
              </w:rPr>
              <w:t>piirkondlike omavalitsuste koostööd</w:t>
            </w:r>
            <w:r>
              <w:t xml:space="preserve">, et toetada haridus-, koolitus- ja noortesüsteemide arengut ning nende lõimimist kohaliku ja piirkondliku arengu meetmetesse; </w:t>
            </w:r>
          </w:p>
        </w:tc>
      </w:tr>
      <w:tr w:rsidR="00005619">
        <w:trPr>
          <w:trHeight w:val="845"/>
        </w:trPr>
        <w:tc>
          <w:tcPr>
            <w:tcW w:w="470" w:type="dxa"/>
            <w:tcBorders>
              <w:top w:val="nil"/>
              <w:left w:val="single" w:sz="4" w:space="0" w:color="000000"/>
              <w:bottom w:val="single" w:sz="4" w:space="0" w:color="000000"/>
              <w:right w:val="nil"/>
            </w:tcBorders>
          </w:tcPr>
          <w:p w:rsidR="00005619" w:rsidRDefault="006E5F36">
            <w:pPr>
              <w:spacing w:after="331" w:line="259" w:lineRule="auto"/>
              <w:ind w:left="110" w:firstLine="0"/>
              <w:jc w:val="left"/>
            </w:pPr>
            <w:r>
              <w:rPr>
                <w:rFonts w:ascii="Wingdings" w:eastAsia="Wingdings" w:hAnsi="Wingdings" w:cs="Wingdings"/>
              </w:rPr>
              <w:t></w:t>
            </w:r>
            <w:r>
              <w:rPr>
                <w:rFonts w:ascii="Arial" w:eastAsia="Arial" w:hAnsi="Arial" w:cs="Arial"/>
              </w:rPr>
              <w:t xml:space="preserve"> </w:t>
            </w:r>
          </w:p>
          <w:p w:rsidR="00005619" w:rsidRDefault="006E5F36">
            <w:pPr>
              <w:spacing w:after="0" w:line="259" w:lineRule="auto"/>
              <w:ind w:left="110" w:firstLine="0"/>
              <w:jc w:val="left"/>
            </w:pPr>
            <w:r>
              <w:t xml:space="preserve"> </w:t>
            </w:r>
          </w:p>
        </w:tc>
        <w:tc>
          <w:tcPr>
            <w:tcW w:w="8826" w:type="dxa"/>
            <w:tcBorders>
              <w:top w:val="nil"/>
              <w:left w:val="nil"/>
              <w:bottom w:val="single" w:sz="4" w:space="0" w:color="000000"/>
              <w:right w:val="single" w:sz="4" w:space="0" w:color="000000"/>
            </w:tcBorders>
          </w:tcPr>
          <w:p w:rsidR="00005619" w:rsidRDefault="006E5F36">
            <w:pPr>
              <w:spacing w:after="0" w:line="259" w:lineRule="auto"/>
              <w:ind w:left="0" w:firstLine="0"/>
            </w:pPr>
            <w:r>
              <w:t xml:space="preserve">tegevused, mille eesmärk on valmistada haridus- ja koolitusvaldkonna töötajaid paremini ette õppekeskkonnas ilmnevateks </w:t>
            </w:r>
            <w:r>
              <w:rPr>
                <w:b/>
              </w:rPr>
              <w:t>võ</w:t>
            </w:r>
            <w:r>
              <w:rPr>
                <w:b/>
              </w:rPr>
              <w:t>rdsuse, mitmekesisuse ja kaasamisega</w:t>
            </w:r>
            <w:r>
              <w:t xml:space="preserve"> seotud probleemideks. </w:t>
            </w:r>
          </w:p>
        </w:tc>
      </w:tr>
    </w:tbl>
    <w:p w:rsidR="00005619" w:rsidRDefault="006E5F36">
      <w:pPr>
        <w:spacing w:after="0" w:line="259" w:lineRule="auto"/>
        <w:ind w:left="0" w:firstLine="0"/>
        <w:jc w:val="left"/>
      </w:pPr>
      <w:r>
        <w:t xml:space="preserve"> </w:t>
      </w:r>
    </w:p>
    <w:p w:rsidR="00005619" w:rsidRDefault="006E5F36">
      <w:pPr>
        <w:spacing w:after="0" w:line="259" w:lineRule="auto"/>
        <w:ind w:left="0" w:firstLine="0"/>
        <w:jc w:val="left"/>
      </w:pPr>
      <w:r>
        <w:t xml:space="preserve"> </w:t>
      </w:r>
    </w:p>
    <w:p w:rsidR="00005619" w:rsidRDefault="006E5F36">
      <w:pPr>
        <w:ind w:left="-5" w:right="30"/>
      </w:pPr>
      <w:r>
        <w:rPr>
          <w:b/>
        </w:rPr>
        <w:t>COVID-19 olukorrale reageerimisel</w:t>
      </w:r>
      <w:r>
        <w:t xml:space="preserve"> on eriti oluline, et strateegiliste partnerlustega viidaks ellu järgmisi tegevusliike (mittetäielik loetelu).   </w:t>
      </w:r>
    </w:p>
    <w:p w:rsidR="00005619" w:rsidRDefault="006E5F36">
      <w:pPr>
        <w:spacing w:after="9" w:line="259" w:lineRule="auto"/>
        <w:ind w:left="0" w:firstLine="0"/>
        <w:jc w:val="left"/>
      </w:pPr>
      <w:r>
        <w:t xml:space="preserve">  </w:t>
      </w:r>
    </w:p>
    <w:p w:rsidR="00005619" w:rsidRDefault="006E5F36">
      <w:pPr>
        <w:pBdr>
          <w:top w:val="single" w:sz="4" w:space="0" w:color="000000"/>
          <w:left w:val="single" w:sz="4" w:space="0" w:color="000000"/>
          <w:bottom w:val="single" w:sz="4" w:space="0" w:color="000000"/>
          <w:right w:val="single" w:sz="4" w:space="0" w:color="000000"/>
        </w:pBdr>
        <w:spacing w:after="0" w:line="259" w:lineRule="auto"/>
        <w:ind w:left="-5" w:right="35"/>
        <w:jc w:val="left"/>
      </w:pPr>
      <w:r>
        <w:rPr>
          <w:b/>
        </w:rPr>
        <w:t>Digihariduseks valmisolekut käsitlevad partnerlused</w:t>
      </w:r>
      <w:r>
        <w:t xml:space="preserve">:   </w:t>
      </w:r>
    </w:p>
    <w:p w:rsidR="00005619" w:rsidRDefault="006E5F36">
      <w:pPr>
        <w:numPr>
          <w:ilvl w:val="0"/>
          <w:numId w:val="3"/>
        </w:numPr>
        <w:pBdr>
          <w:top w:val="single" w:sz="4" w:space="0" w:color="000000"/>
          <w:left w:val="single" w:sz="4" w:space="0" w:color="000000"/>
          <w:bottom w:val="single" w:sz="4" w:space="0" w:color="000000"/>
          <w:right w:val="single" w:sz="4" w:space="0" w:color="000000"/>
        </w:pBdr>
        <w:spacing w:after="44" w:line="231" w:lineRule="auto"/>
        <w:ind w:left="345" w:right="35" w:hanging="360"/>
      </w:pPr>
      <w:r>
        <w:t xml:space="preserve">tegevused digitaalsete vahendite kasutusele võtmiseks ja meetodid kvaliteetse ja kaasava hariduse tagamiseks veebipõhiste/virtuaalsete vahendite kaudu, sealhulgas kombineeritud õpetamine, koolitamine ja õpe; </w:t>
      </w:r>
    </w:p>
    <w:p w:rsidR="00005619" w:rsidRDefault="006E5F36">
      <w:pPr>
        <w:numPr>
          <w:ilvl w:val="0"/>
          <w:numId w:val="3"/>
        </w:numPr>
        <w:pBdr>
          <w:top w:val="single" w:sz="4" w:space="0" w:color="000000"/>
          <w:left w:val="single" w:sz="4" w:space="0" w:color="000000"/>
          <w:bottom w:val="single" w:sz="4" w:space="0" w:color="000000"/>
          <w:right w:val="single" w:sz="4" w:space="0" w:color="000000"/>
        </w:pBdr>
        <w:spacing w:after="44" w:line="231" w:lineRule="auto"/>
        <w:ind w:left="345" w:right="35" w:hanging="360"/>
      </w:pPr>
      <w:r>
        <w:t>tegevused, millega toetatakse õppijaid, õpetaja</w:t>
      </w:r>
      <w:r>
        <w:t xml:space="preserve">id ja koolitajaid veebipõhise/kaugõppe kohandamisel; </w:t>
      </w:r>
    </w:p>
    <w:p w:rsidR="00005619" w:rsidRDefault="006E5F36">
      <w:pPr>
        <w:numPr>
          <w:ilvl w:val="0"/>
          <w:numId w:val="3"/>
        </w:numPr>
        <w:pBdr>
          <w:top w:val="single" w:sz="4" w:space="0" w:color="000000"/>
          <w:left w:val="single" w:sz="4" w:space="0" w:color="000000"/>
          <w:bottom w:val="single" w:sz="4" w:space="0" w:color="000000"/>
          <w:right w:val="single" w:sz="4" w:space="0" w:color="000000"/>
        </w:pBdr>
        <w:spacing w:after="44" w:line="231" w:lineRule="auto"/>
        <w:ind w:left="345" w:right="35" w:hanging="360"/>
      </w:pPr>
      <w:r>
        <w:t xml:space="preserve">tegevused, millega õpetatakse ja edendatakse digitehnoloogia ohutumat ja vastutustundlikumat kasutust; </w:t>
      </w:r>
    </w:p>
    <w:p w:rsidR="00005619" w:rsidRDefault="006E5F36">
      <w:pPr>
        <w:numPr>
          <w:ilvl w:val="0"/>
          <w:numId w:val="3"/>
        </w:numPr>
        <w:pBdr>
          <w:top w:val="single" w:sz="4" w:space="0" w:color="000000"/>
          <w:left w:val="single" w:sz="4" w:space="0" w:color="000000"/>
          <w:bottom w:val="single" w:sz="4" w:space="0" w:color="000000"/>
          <w:right w:val="single" w:sz="4" w:space="0" w:color="000000"/>
        </w:pBdr>
        <w:spacing w:after="44" w:line="231" w:lineRule="auto"/>
        <w:ind w:left="345" w:right="35" w:hanging="360"/>
      </w:pPr>
      <w:r>
        <w:t>tegevused, mille eesmärk on mõista, milline oleks parim viis veebipõhise digitehnoloogia ühendamis</w:t>
      </w:r>
      <w:r>
        <w:t xml:space="preserve">eks ainepõhise õpetamise, koolitamise ja õppega, sealhulgas tööpõhise õppega. </w:t>
      </w:r>
    </w:p>
    <w:p w:rsidR="00005619" w:rsidRDefault="006E5F36">
      <w:pPr>
        <w:spacing w:after="0" w:line="259" w:lineRule="auto"/>
        <w:ind w:left="0" w:firstLine="0"/>
        <w:jc w:val="left"/>
      </w:pPr>
      <w:r>
        <w:rPr>
          <w:b/>
        </w:rPr>
        <w:t xml:space="preserve"> </w:t>
      </w:r>
    </w:p>
    <w:p w:rsidR="00005619" w:rsidRDefault="006E5F36">
      <w:pPr>
        <w:spacing w:after="9" w:line="259" w:lineRule="auto"/>
        <w:ind w:left="0" w:firstLine="0"/>
        <w:jc w:val="left"/>
      </w:pPr>
      <w:r>
        <w:rPr>
          <w:b/>
        </w:rPr>
        <w:t xml:space="preserve"> </w:t>
      </w:r>
    </w:p>
    <w:p w:rsidR="00005619" w:rsidRDefault="006E5F36">
      <w:pPr>
        <w:pBdr>
          <w:top w:val="single" w:sz="4" w:space="0" w:color="000000"/>
          <w:left w:val="single" w:sz="4" w:space="0" w:color="000000"/>
          <w:bottom w:val="single" w:sz="4" w:space="0" w:color="000000"/>
          <w:right w:val="single" w:sz="4" w:space="0" w:color="000000"/>
        </w:pBdr>
        <w:spacing w:after="0" w:line="259" w:lineRule="auto"/>
        <w:ind w:left="-5" w:right="35"/>
        <w:jc w:val="left"/>
      </w:pPr>
      <w:r>
        <w:rPr>
          <w:b/>
        </w:rPr>
        <w:t xml:space="preserve">„Loovust edendavad </w:t>
      </w:r>
      <w:proofErr w:type="gramStart"/>
      <w:r>
        <w:rPr>
          <w:b/>
        </w:rPr>
        <w:t>partnerlused“</w:t>
      </w:r>
      <w:proofErr w:type="gramEnd"/>
      <w:r>
        <w:t xml:space="preserve">: </w:t>
      </w:r>
    </w:p>
    <w:p w:rsidR="00005619" w:rsidRDefault="006E5F36">
      <w:pPr>
        <w:pBdr>
          <w:top w:val="single" w:sz="4" w:space="0" w:color="000000"/>
          <w:left w:val="single" w:sz="4" w:space="0" w:color="000000"/>
          <w:bottom w:val="single" w:sz="4" w:space="0" w:color="000000"/>
          <w:right w:val="single" w:sz="4" w:space="0" w:color="000000"/>
        </w:pBdr>
        <w:spacing w:after="18" w:line="259" w:lineRule="auto"/>
        <w:ind w:left="-15" w:right="35" w:firstLine="0"/>
        <w:jc w:val="left"/>
      </w:pPr>
      <w:r>
        <w:t xml:space="preserve"> </w:t>
      </w:r>
    </w:p>
    <w:p w:rsidR="00005619" w:rsidRDefault="006E5F36">
      <w:pPr>
        <w:numPr>
          <w:ilvl w:val="0"/>
          <w:numId w:val="3"/>
        </w:numPr>
        <w:pBdr>
          <w:top w:val="single" w:sz="4" w:space="0" w:color="000000"/>
          <w:left w:val="single" w:sz="4" w:space="0" w:color="000000"/>
          <w:bottom w:val="single" w:sz="4" w:space="0" w:color="000000"/>
          <w:right w:val="single" w:sz="4" w:space="0" w:color="000000"/>
        </w:pBdr>
        <w:spacing w:after="44" w:line="231" w:lineRule="auto"/>
        <w:ind w:left="345" w:right="35" w:hanging="360"/>
      </w:pPr>
      <w:r>
        <w:t xml:space="preserve">tegevused, mis on seotud loovuse kõigi aspektide tugevdamisega mitteformaalses ja formaalses hariduses, edendades oskuste ja pädevuste arendamist; </w:t>
      </w:r>
    </w:p>
    <w:p w:rsidR="00005619" w:rsidRDefault="006E5F36">
      <w:pPr>
        <w:numPr>
          <w:ilvl w:val="0"/>
          <w:numId w:val="3"/>
        </w:numPr>
        <w:pBdr>
          <w:top w:val="single" w:sz="4" w:space="0" w:color="000000"/>
          <w:left w:val="single" w:sz="4" w:space="0" w:color="000000"/>
          <w:bottom w:val="single" w:sz="4" w:space="0" w:color="000000"/>
          <w:right w:val="single" w:sz="4" w:space="0" w:color="000000"/>
        </w:pBdr>
        <w:spacing w:after="44" w:line="231" w:lineRule="auto"/>
        <w:ind w:left="345" w:right="35" w:hanging="360"/>
      </w:pPr>
      <w:r>
        <w:t>meetmed, millega kiirendatakse digiüleminekut ja digivahendite kasutamist, et kohaneda viisiga, kuidas loomi</w:t>
      </w:r>
      <w:r>
        <w:t xml:space="preserve">ngulisi tooteid ja sündmusi luuakse, hallatakse, levitatakse, tarbitakse ja nendele juurde pääsetakse; </w:t>
      </w:r>
    </w:p>
    <w:p w:rsidR="00005619" w:rsidRDefault="006E5F36">
      <w:pPr>
        <w:numPr>
          <w:ilvl w:val="0"/>
          <w:numId w:val="3"/>
        </w:numPr>
        <w:pBdr>
          <w:top w:val="single" w:sz="4" w:space="0" w:color="000000"/>
          <w:left w:val="single" w:sz="4" w:space="0" w:color="000000"/>
          <w:bottom w:val="single" w:sz="4" w:space="0" w:color="000000"/>
          <w:right w:val="single" w:sz="4" w:space="0" w:color="000000"/>
        </w:pBdr>
        <w:spacing w:after="44" w:line="231" w:lineRule="auto"/>
        <w:ind w:left="345" w:right="35" w:hanging="360"/>
      </w:pPr>
      <w:r>
        <w:t xml:space="preserve">tegevused, millega edendatakse aktiivset kodakondsust ja sotsiaalset kaasatust kunstide kaudu, eelkõige noorte seas; </w:t>
      </w:r>
    </w:p>
    <w:p w:rsidR="00005619" w:rsidRDefault="006E5F36">
      <w:pPr>
        <w:numPr>
          <w:ilvl w:val="0"/>
          <w:numId w:val="3"/>
        </w:numPr>
        <w:pBdr>
          <w:top w:val="single" w:sz="4" w:space="0" w:color="000000"/>
          <w:left w:val="single" w:sz="4" w:space="0" w:color="000000"/>
          <w:bottom w:val="single" w:sz="4" w:space="0" w:color="000000"/>
          <w:right w:val="single" w:sz="4" w:space="0" w:color="000000"/>
        </w:pBdr>
        <w:spacing w:after="44" w:line="231" w:lineRule="auto"/>
        <w:ind w:left="345" w:right="35" w:hanging="360"/>
      </w:pPr>
      <w:r>
        <w:t>tegevused, millega soodustatakse a</w:t>
      </w:r>
      <w:r>
        <w:t xml:space="preserve">ndeid ja edendatakse ettevõtlust (sealhulgas sotsiaalset ettevõtlust) kultuuri- ja loomevaldkonnas;  </w:t>
      </w:r>
    </w:p>
    <w:p w:rsidR="00005619" w:rsidRDefault="006E5F36">
      <w:pPr>
        <w:numPr>
          <w:ilvl w:val="0"/>
          <w:numId w:val="3"/>
        </w:numPr>
        <w:pBdr>
          <w:top w:val="single" w:sz="4" w:space="0" w:color="000000"/>
          <w:left w:val="single" w:sz="4" w:space="0" w:color="000000"/>
          <w:bottom w:val="single" w:sz="4" w:space="0" w:color="000000"/>
          <w:right w:val="single" w:sz="4" w:space="0" w:color="000000"/>
        </w:pBdr>
        <w:spacing w:after="44" w:line="231" w:lineRule="auto"/>
        <w:ind w:left="345" w:right="35" w:hanging="360"/>
      </w:pPr>
      <w:r>
        <w:t xml:space="preserve">õppevahendid ja -ressursid, materjalid, kursused ja koolitusmoodulid loovuse, kultuuri ja mitmekultuurilisuse edendamiseks;  </w:t>
      </w:r>
    </w:p>
    <w:p w:rsidR="00005619" w:rsidRDefault="006E5F36">
      <w:pPr>
        <w:numPr>
          <w:ilvl w:val="0"/>
          <w:numId w:val="3"/>
        </w:numPr>
        <w:pBdr>
          <w:top w:val="single" w:sz="4" w:space="0" w:color="000000"/>
          <w:left w:val="single" w:sz="4" w:space="0" w:color="000000"/>
          <w:bottom w:val="single" w:sz="4" w:space="0" w:color="000000"/>
          <w:right w:val="single" w:sz="4" w:space="0" w:color="000000"/>
        </w:pBdr>
        <w:spacing w:after="44" w:line="231" w:lineRule="auto"/>
        <w:ind w:left="345" w:right="35" w:hanging="360"/>
      </w:pPr>
      <w:r>
        <w:t>kunstilised ja kultuurilised</w:t>
      </w:r>
      <w:r>
        <w:t xml:space="preserve"> algatused, millel on hariduslik mõõde või mille eesmärk on suurendada teadlikkust ühiskondlikest küsimustest ja Euroopa teemadest (teatrietendused, näitused, muusikaüritused, arutelufoorumid jne);  </w:t>
      </w:r>
    </w:p>
    <w:p w:rsidR="00005619" w:rsidRDefault="006E5F36">
      <w:pPr>
        <w:numPr>
          <w:ilvl w:val="0"/>
          <w:numId w:val="3"/>
        </w:numPr>
        <w:pBdr>
          <w:top w:val="single" w:sz="4" w:space="0" w:color="000000"/>
          <w:left w:val="single" w:sz="4" w:space="0" w:color="000000"/>
          <w:bottom w:val="single" w:sz="4" w:space="0" w:color="000000"/>
          <w:right w:val="single" w:sz="4" w:space="0" w:color="000000"/>
        </w:pBdr>
        <w:spacing w:after="153" w:line="231" w:lineRule="auto"/>
        <w:ind w:left="345" w:right="35" w:hanging="360"/>
      </w:pPr>
      <w:r>
        <w:t>tegevused, mille eesmärk on luua või tugevdada võrgustik</w:t>
      </w:r>
      <w:r>
        <w:t xml:space="preserve">ke ja uusi koostöömudeleid (eelkõige virtuaalsete vahendite kaudu), millega stimuleeritakse kultuuridevahelist suhtlust ja loova mõtteviisi edendamist kodanike, eelkõige noorte seas; </w:t>
      </w:r>
    </w:p>
    <w:p w:rsidR="00005619" w:rsidRDefault="006E5F36">
      <w:pPr>
        <w:numPr>
          <w:ilvl w:val="0"/>
          <w:numId w:val="3"/>
        </w:numPr>
        <w:pBdr>
          <w:top w:val="single" w:sz="4" w:space="0" w:color="000000"/>
          <w:left w:val="single" w:sz="4" w:space="0" w:color="000000"/>
          <w:bottom w:val="single" w:sz="4" w:space="0" w:color="000000"/>
          <w:right w:val="single" w:sz="4" w:space="0" w:color="000000"/>
        </w:pBdr>
        <w:spacing w:after="44" w:line="231" w:lineRule="auto"/>
        <w:ind w:left="345" w:right="35" w:hanging="360"/>
      </w:pPr>
      <w:r>
        <w:t>riikidevahelised liikuvusmeetmed, millega edendatakse õppevõimalusi loom</w:t>
      </w:r>
      <w:r>
        <w:t xml:space="preserve">eruumides ja kultuuripärandi objektidel, sealhulgas loomekülastuspraktika kunstnikele ja loojatele mitteformaalse/formaalse hariduse ja noorsootöö vallas.  </w:t>
      </w:r>
      <w:r>
        <w:rPr>
          <w:sz w:val="24"/>
        </w:rPr>
        <w:t xml:space="preserve"> </w:t>
      </w:r>
    </w:p>
    <w:p w:rsidR="00005619" w:rsidRDefault="006E5F36">
      <w:pPr>
        <w:spacing w:after="0" w:line="259" w:lineRule="auto"/>
        <w:ind w:left="0" w:firstLine="0"/>
        <w:jc w:val="left"/>
      </w:pPr>
      <w:r>
        <w:rPr>
          <w:sz w:val="24"/>
        </w:rPr>
        <w:t xml:space="preserve"> </w:t>
      </w:r>
    </w:p>
    <w:p w:rsidR="00005619" w:rsidRDefault="006E5F36">
      <w:pPr>
        <w:ind w:left="-5" w:right="30"/>
      </w:pPr>
      <w:r>
        <w:rPr>
          <w:b/>
        </w:rPr>
        <w:t>Virtuaalse koostöö</w:t>
      </w:r>
      <w:r>
        <w:t xml:space="preserve"> võimalused on olulised edukate partnerluste jaoks COVID-</w:t>
      </w:r>
      <w:r>
        <w:t xml:space="preserve">19 kontekstis. Eelkõige julgustatakse koolihariduse ja täiskasvanuhariduse valdkonna projektide puhul kasutama </w:t>
      </w:r>
      <w:r>
        <w:rPr>
          <w:b/>
        </w:rPr>
        <w:t>eTwinning, School Education Gateway ja Euroopa täiskasvanuõppe elektroonilist platvormi</w:t>
      </w:r>
      <w:r>
        <w:t>, et teha koostööd enne projektitegevusi, nende ajal ja pä</w:t>
      </w:r>
      <w:r>
        <w:t xml:space="preserve">rast.  </w:t>
      </w:r>
    </w:p>
    <w:p w:rsidR="00005619" w:rsidRDefault="006E5F36">
      <w:pPr>
        <w:spacing w:after="0" w:line="259" w:lineRule="auto"/>
        <w:ind w:left="0" w:firstLine="0"/>
        <w:jc w:val="left"/>
      </w:pPr>
      <w:r>
        <w:t xml:space="preserve"> </w:t>
      </w:r>
    </w:p>
    <w:p w:rsidR="00005619" w:rsidRDefault="006E5F36">
      <w:pPr>
        <w:spacing w:after="0" w:line="259" w:lineRule="auto"/>
        <w:ind w:left="0" w:firstLine="0"/>
        <w:jc w:val="left"/>
      </w:pPr>
      <w:r>
        <w:t xml:space="preserve"> </w:t>
      </w:r>
    </w:p>
    <w:p w:rsidR="00005619" w:rsidRDefault="006E5F36">
      <w:pPr>
        <w:ind w:left="-5" w:right="30"/>
      </w:pPr>
      <w:r>
        <w:t xml:space="preserve">Partnerluste raames võidakse korraldada ka riikidevahelist üksikisikute </w:t>
      </w:r>
      <w:r>
        <w:rPr>
          <w:b/>
        </w:rPr>
        <w:t>õppimise, õpetamise ja koolitamisega seotud tegevust</w:t>
      </w:r>
      <w:r>
        <w:t xml:space="preserve"> (sealhulgas kombineeritud õpiränne), seni kuni see toob projekti eesmärkide saavutamisse lisaväärtust. Mõned </w:t>
      </w:r>
      <w:r>
        <w:lastRenderedPageBreak/>
        <w:t>nendest te</w:t>
      </w:r>
      <w:r>
        <w:t xml:space="preserve">gevustest on eriti asjakohased ühes või mitmes hariduse, koolituse ja noorte valdkonnas. Toetatavate tegevuste üksikasjalikuma kirjelduse leiab I lisast. </w:t>
      </w:r>
    </w:p>
    <w:p w:rsidR="00005619" w:rsidRDefault="006E5F36">
      <w:pPr>
        <w:spacing w:after="283" w:line="259" w:lineRule="auto"/>
        <w:ind w:left="0" w:firstLine="0"/>
        <w:jc w:val="left"/>
      </w:pPr>
      <w:r>
        <w:t xml:space="preserve"> </w:t>
      </w:r>
    </w:p>
    <w:p w:rsidR="00005619" w:rsidRDefault="006E5F36">
      <w:pPr>
        <w:spacing w:after="182" w:line="265" w:lineRule="auto"/>
        <w:ind w:left="-5"/>
        <w:jc w:val="left"/>
      </w:pPr>
      <w:r>
        <w:rPr>
          <w:b/>
          <w:sz w:val="22"/>
        </w:rPr>
        <w:t>K</w:t>
      </w:r>
      <w:r>
        <w:rPr>
          <w:b/>
        </w:rPr>
        <w:t xml:space="preserve">ES VÕIVAD OSALEDA </w:t>
      </w:r>
      <w:r>
        <w:rPr>
          <w:b/>
          <w:sz w:val="22"/>
        </w:rPr>
        <w:t>COVID-19</w:t>
      </w:r>
      <w:r>
        <w:rPr>
          <w:b/>
        </w:rPr>
        <w:t xml:space="preserve"> OLUKORRALE REAGEERIMISEKS LOODUD STRATEEGILISES PARTNERLUSES</w:t>
      </w:r>
      <w:r>
        <w:rPr>
          <w:b/>
          <w:sz w:val="22"/>
        </w:rPr>
        <w:t xml:space="preserve">? </w:t>
      </w:r>
    </w:p>
    <w:p w:rsidR="00005619" w:rsidRDefault="006E5F36">
      <w:pPr>
        <w:ind w:left="-5" w:right="30"/>
      </w:pPr>
      <w:r>
        <w:t>Strateegiliste partnerluste puhul seatakse üldjuhul sihiks programmiriikides asutatud organisatsioonide koostöö. Strateegilises partnerluses võivad osaleda partneritena (mitte taotlejatena) siiski ka partnerriikidest pärit organisatsioonid, kui nende osale</w:t>
      </w:r>
      <w:r>
        <w:t xml:space="preserve">mine toob projekti olulist lisaväärtust. </w:t>
      </w:r>
    </w:p>
    <w:p w:rsidR="00005619" w:rsidRDefault="006E5F36">
      <w:pPr>
        <w:spacing w:after="0" w:line="259" w:lineRule="auto"/>
        <w:ind w:left="0" w:firstLine="0"/>
        <w:jc w:val="left"/>
      </w:pPr>
      <w:r>
        <w:t xml:space="preserve"> </w:t>
      </w:r>
    </w:p>
    <w:p w:rsidR="00005619" w:rsidRDefault="006E5F36">
      <w:pPr>
        <w:ind w:left="-5" w:right="30"/>
      </w:pPr>
      <w:r>
        <w:t>Peale projektis ametlikult osalevate ja ELi rahastust saavate organisatsioonide võivad strateegilised partnerlused kaasata avaliku või erasektori assotsieerunud partnereid, kes annavad oma panuse projekti konkree</w:t>
      </w:r>
      <w:r>
        <w:t>tsete ülesannete täitmisse / tegevuste elluviimisse või toetavad projekti levitamistegevust ja jätkusuutlikkust. Lepingust tulenevate haldusküsimuste puhul ei loeta assotsieerunud partnereid projektipartneriteks ja neile ei eraldata rahalisi vahendeid. Kül</w:t>
      </w:r>
      <w:r>
        <w:t xml:space="preserve">l aga tuleb selgelt kirjeldada nende osalemist ja rolli projektis ning eri tegevustes.  </w:t>
      </w:r>
    </w:p>
    <w:p w:rsidR="00005619" w:rsidRDefault="006E5F36">
      <w:pPr>
        <w:spacing w:after="284" w:line="259" w:lineRule="auto"/>
        <w:ind w:left="0" w:firstLine="0"/>
        <w:jc w:val="left"/>
      </w:pPr>
      <w:r>
        <w:t xml:space="preserve"> </w:t>
      </w:r>
    </w:p>
    <w:p w:rsidR="00005619" w:rsidRDefault="006E5F36">
      <w:pPr>
        <w:spacing w:after="182" w:line="265" w:lineRule="auto"/>
        <w:ind w:left="-5"/>
        <w:jc w:val="left"/>
      </w:pPr>
      <w:r>
        <w:rPr>
          <w:b/>
          <w:sz w:val="22"/>
        </w:rPr>
        <w:t>M</w:t>
      </w:r>
      <w:r>
        <w:rPr>
          <w:b/>
        </w:rPr>
        <w:t xml:space="preserve">ILLISEID KRITEERIUME KASUTATAKSE </w:t>
      </w:r>
      <w:r>
        <w:rPr>
          <w:b/>
          <w:sz w:val="22"/>
        </w:rPr>
        <w:t>COVID-19</w:t>
      </w:r>
      <w:r>
        <w:rPr>
          <w:b/>
        </w:rPr>
        <w:t xml:space="preserve"> OLUKORRALE REAGEERIMISEKS LOODUD STRATEEGILISE PARTNERLUSE HINDAMISEL</w:t>
      </w:r>
      <w:r>
        <w:rPr>
          <w:b/>
          <w:sz w:val="22"/>
        </w:rPr>
        <w:t>?</w:t>
      </w:r>
      <w:r>
        <w:rPr>
          <w:b/>
        </w:rPr>
        <w:t xml:space="preserve"> </w:t>
      </w:r>
      <w:r>
        <w:rPr>
          <w:b/>
          <w:sz w:val="22"/>
        </w:rPr>
        <w:t xml:space="preserve"> </w:t>
      </w:r>
    </w:p>
    <w:p w:rsidR="00005619" w:rsidRDefault="006E5F36" w:rsidP="00EF021C">
      <w:pPr>
        <w:ind w:left="-5" w:right="30"/>
      </w:pPr>
      <w:r>
        <w:t>Allpool on loetletud ametlikud kriteeriumid, mill</w:t>
      </w:r>
      <w:r>
        <w:t>ele COVID-19 olukorrale reageerimiseks loodud strateegiline partnerlus peab vastama, et programmi „Erasmus</w:t>
      </w:r>
      <w:proofErr w:type="gramStart"/>
      <w:r>
        <w:t>+“ alusel</w:t>
      </w:r>
      <w:proofErr w:type="gramEnd"/>
      <w:r>
        <w:t xml:space="preserve"> toetust saada. </w:t>
      </w:r>
    </w:p>
    <w:p w:rsidR="00005619" w:rsidRDefault="006E5F36">
      <w:pPr>
        <w:pStyle w:val="Heading2"/>
        <w:spacing w:after="0"/>
        <w:ind w:left="-5"/>
      </w:pPr>
      <w:r>
        <w:rPr>
          <w:sz w:val="20"/>
        </w:rPr>
        <w:lastRenderedPageBreak/>
        <w:t>Ü</w:t>
      </w:r>
      <w:r>
        <w:t>LDISED ABIKÕLBLIKKUSKRITEERIUMID</w:t>
      </w:r>
      <w:r>
        <w:rPr>
          <w:sz w:val="20"/>
        </w:rPr>
        <w:t xml:space="preserve"> </w:t>
      </w:r>
    </w:p>
    <w:tbl>
      <w:tblPr>
        <w:tblStyle w:val="TableGrid"/>
        <w:tblW w:w="9296" w:type="dxa"/>
        <w:tblInd w:w="-110" w:type="dxa"/>
        <w:tblCellMar>
          <w:top w:w="132" w:type="dxa"/>
          <w:left w:w="110" w:type="dxa"/>
          <w:bottom w:w="0" w:type="dxa"/>
          <w:right w:w="69" w:type="dxa"/>
        </w:tblCellMar>
        <w:tblLook w:val="04A0" w:firstRow="1" w:lastRow="0" w:firstColumn="1" w:lastColumn="0" w:noHBand="0" w:noVBand="1"/>
      </w:tblPr>
      <w:tblGrid>
        <w:gridCol w:w="2075"/>
        <w:gridCol w:w="7221"/>
      </w:tblGrid>
      <w:tr w:rsidR="00005619">
        <w:trPr>
          <w:trHeight w:val="8494"/>
        </w:trPr>
        <w:tc>
          <w:tcPr>
            <w:tcW w:w="2075" w:type="dxa"/>
            <w:tcBorders>
              <w:top w:val="single" w:sz="4" w:space="0" w:color="000000"/>
              <w:left w:val="single" w:sz="4" w:space="0" w:color="000000"/>
              <w:bottom w:val="dashed" w:sz="4" w:space="0" w:color="000000"/>
              <w:right w:val="single" w:sz="8" w:space="0" w:color="000000"/>
            </w:tcBorders>
            <w:vAlign w:val="center"/>
          </w:tcPr>
          <w:p w:rsidR="00005619" w:rsidRDefault="006E5F36">
            <w:pPr>
              <w:spacing w:after="0" w:line="259" w:lineRule="auto"/>
              <w:ind w:left="0" w:firstLine="0"/>
              <w:jc w:val="left"/>
            </w:pPr>
            <w:r>
              <w:rPr>
                <w:b/>
              </w:rPr>
              <w:t xml:space="preserve">Abikõlblikud osalevad organisatsioonid </w:t>
            </w:r>
          </w:p>
        </w:tc>
        <w:tc>
          <w:tcPr>
            <w:tcW w:w="7222" w:type="dxa"/>
            <w:tcBorders>
              <w:top w:val="single" w:sz="4" w:space="0" w:color="000000"/>
              <w:left w:val="single" w:sz="8" w:space="0" w:color="000000"/>
              <w:bottom w:val="dashed" w:sz="4" w:space="0" w:color="000000"/>
              <w:right w:val="single" w:sz="4" w:space="0" w:color="000000"/>
            </w:tcBorders>
          </w:tcPr>
          <w:p w:rsidR="00005619" w:rsidRDefault="006E5F36">
            <w:pPr>
              <w:spacing w:after="29" w:line="266" w:lineRule="auto"/>
              <w:ind w:left="0" w:right="93" w:firstLine="0"/>
              <w:jc w:val="left"/>
            </w:pPr>
            <w:r>
              <w:t xml:space="preserve">Osalev organisatsioon võib olla ükskõik milline programmi- või partnerriigis asutatud avaliku või erasektori organisatsioon (vt käesoleva juhendi A osa jaotis „Abikõlblikud </w:t>
            </w:r>
            <w:proofErr w:type="gramStart"/>
            <w:r>
              <w:t>riigid“</w:t>
            </w:r>
            <w:proofErr w:type="gramEnd"/>
            <w:r>
              <w:t>). Selline organisatsioon võib olla näiteks:</w:t>
            </w:r>
            <w:r>
              <w:rPr>
                <w:sz w:val="24"/>
              </w:rPr>
              <w:t xml:space="preserve"> </w:t>
            </w:r>
          </w:p>
          <w:p w:rsidR="00005619" w:rsidRDefault="006E5F36">
            <w:pPr>
              <w:numPr>
                <w:ilvl w:val="0"/>
                <w:numId w:val="4"/>
              </w:numPr>
              <w:spacing w:after="10" w:line="259" w:lineRule="auto"/>
              <w:ind w:hanging="360"/>
              <w:jc w:val="left"/>
            </w:pPr>
            <w:r>
              <w:t xml:space="preserve">kõrgkool; </w:t>
            </w:r>
          </w:p>
          <w:p w:rsidR="00005619" w:rsidRDefault="006E5F36">
            <w:pPr>
              <w:numPr>
                <w:ilvl w:val="0"/>
                <w:numId w:val="4"/>
              </w:numPr>
              <w:spacing w:after="23" w:line="238" w:lineRule="auto"/>
              <w:ind w:hanging="360"/>
              <w:jc w:val="left"/>
            </w:pPr>
            <w:r>
              <w:t>kool/instituut/hari</w:t>
            </w:r>
            <w:r>
              <w:t xml:space="preserve">duskeskus (ükskõik millisel tasandil, alates alushariduse tasandist kuni keskhariduse tasandini ning hõlmates kutse- ja täiskasvanuharidust); </w:t>
            </w:r>
          </w:p>
          <w:p w:rsidR="00005619" w:rsidRDefault="006E5F36">
            <w:pPr>
              <w:numPr>
                <w:ilvl w:val="0"/>
                <w:numId w:val="4"/>
              </w:numPr>
              <w:spacing w:after="9" w:line="259" w:lineRule="auto"/>
              <w:ind w:hanging="360"/>
              <w:jc w:val="left"/>
            </w:pPr>
            <w:r>
              <w:t xml:space="preserve">mittetulundusorganisatsioon, ühendus, valitsusväline organisatsioon; </w:t>
            </w:r>
          </w:p>
          <w:p w:rsidR="00005619" w:rsidRDefault="006E5F36">
            <w:pPr>
              <w:numPr>
                <w:ilvl w:val="0"/>
                <w:numId w:val="4"/>
              </w:numPr>
              <w:spacing w:after="28" w:line="238" w:lineRule="auto"/>
              <w:ind w:hanging="360"/>
              <w:jc w:val="left"/>
            </w:pPr>
            <w:r>
              <w:t>avaliku või erasektori ettevõte või väike-,</w:t>
            </w:r>
            <w:r>
              <w:t xml:space="preserve"> keskmine või suurettevõte (sh sotsiaalne ettevõte); </w:t>
            </w:r>
          </w:p>
          <w:p w:rsidR="00005619" w:rsidRDefault="006E5F36">
            <w:pPr>
              <w:numPr>
                <w:ilvl w:val="0"/>
                <w:numId w:val="4"/>
              </w:numPr>
              <w:spacing w:after="9" w:line="259" w:lineRule="auto"/>
              <w:ind w:hanging="360"/>
              <w:jc w:val="left"/>
            </w:pPr>
            <w:r>
              <w:t xml:space="preserve">kohaliku, piirkonna või riigi tasandi avalik-õiguslik asutus; </w:t>
            </w:r>
          </w:p>
          <w:p w:rsidR="00005619" w:rsidRDefault="006E5F36">
            <w:pPr>
              <w:numPr>
                <w:ilvl w:val="0"/>
                <w:numId w:val="4"/>
              </w:numPr>
              <w:spacing w:after="32" w:line="233" w:lineRule="auto"/>
              <w:ind w:hanging="360"/>
              <w:jc w:val="left"/>
            </w:pPr>
            <w:r>
              <w:t>sotsiaalpartner või muu tööhõivesektori esindaja, sealhulgas kaubanduskoda, tööstusühendus, käsitööettevõtjate liit või kutseliit ja ametiü</w:t>
            </w:r>
            <w:r>
              <w:t xml:space="preserve">hing; </w:t>
            </w:r>
          </w:p>
          <w:p w:rsidR="00005619" w:rsidRDefault="006E5F36">
            <w:pPr>
              <w:numPr>
                <w:ilvl w:val="0"/>
                <w:numId w:val="4"/>
              </w:numPr>
              <w:spacing w:after="8" w:line="259" w:lineRule="auto"/>
              <w:ind w:hanging="360"/>
              <w:jc w:val="left"/>
            </w:pPr>
            <w:r>
              <w:t xml:space="preserve">uurimisinstituut; </w:t>
            </w:r>
          </w:p>
          <w:p w:rsidR="00005619" w:rsidRDefault="006E5F36">
            <w:pPr>
              <w:numPr>
                <w:ilvl w:val="0"/>
                <w:numId w:val="4"/>
              </w:numPr>
              <w:spacing w:after="9" w:line="259" w:lineRule="auto"/>
              <w:ind w:hanging="360"/>
              <w:jc w:val="left"/>
            </w:pPr>
            <w:r>
              <w:t xml:space="preserve">sihtasutus; </w:t>
            </w:r>
          </w:p>
          <w:p w:rsidR="00005619" w:rsidRDefault="006E5F36">
            <w:pPr>
              <w:numPr>
                <w:ilvl w:val="0"/>
                <w:numId w:val="4"/>
              </w:numPr>
              <w:spacing w:after="4" w:line="259" w:lineRule="auto"/>
              <w:ind w:hanging="360"/>
              <w:jc w:val="left"/>
            </w:pPr>
            <w:r>
              <w:t xml:space="preserve">ettevõttesisene koolituskeskus; </w:t>
            </w:r>
          </w:p>
          <w:p w:rsidR="00005619" w:rsidRDefault="006E5F36">
            <w:pPr>
              <w:numPr>
                <w:ilvl w:val="0"/>
                <w:numId w:val="4"/>
              </w:numPr>
              <w:spacing w:after="9" w:line="259" w:lineRule="auto"/>
              <w:ind w:hanging="360"/>
              <w:jc w:val="left"/>
            </w:pPr>
            <w:r>
              <w:t xml:space="preserve">ühiseid koolitusi pakkuvad ettevõtted; </w:t>
            </w:r>
          </w:p>
          <w:p w:rsidR="00005619" w:rsidRDefault="006E5F36">
            <w:pPr>
              <w:numPr>
                <w:ilvl w:val="0"/>
                <w:numId w:val="4"/>
              </w:numPr>
              <w:spacing w:after="9" w:line="259" w:lineRule="auto"/>
              <w:ind w:hanging="360"/>
              <w:jc w:val="left"/>
            </w:pPr>
            <w:r>
              <w:t xml:space="preserve">kultuuriorganisatsioon, raamatukogu, muuseum; </w:t>
            </w:r>
          </w:p>
          <w:p w:rsidR="00005619" w:rsidRDefault="006E5F36">
            <w:pPr>
              <w:numPr>
                <w:ilvl w:val="0"/>
                <w:numId w:val="4"/>
              </w:numPr>
              <w:spacing w:after="9" w:line="259" w:lineRule="auto"/>
              <w:ind w:hanging="360"/>
              <w:jc w:val="left"/>
            </w:pPr>
            <w:r>
              <w:t xml:space="preserve">kutsenõustamis- ja teabeteenuseid pakkuv asutus; </w:t>
            </w:r>
          </w:p>
          <w:p w:rsidR="00005619" w:rsidRDefault="006E5F36">
            <w:pPr>
              <w:numPr>
                <w:ilvl w:val="0"/>
                <w:numId w:val="4"/>
              </w:numPr>
              <w:spacing w:after="23" w:line="238" w:lineRule="auto"/>
              <w:ind w:hanging="360"/>
              <w:jc w:val="left"/>
            </w:pPr>
            <w:r>
              <w:t xml:space="preserve">asutus, mis valideerib mitteformaalse ja informaalse õppe käigus omandatud teadmisi, oskusi ning pädevusi; </w:t>
            </w:r>
          </w:p>
          <w:p w:rsidR="00005619" w:rsidRDefault="006E5F36">
            <w:pPr>
              <w:numPr>
                <w:ilvl w:val="0"/>
                <w:numId w:val="4"/>
              </w:numPr>
              <w:spacing w:after="9" w:line="259" w:lineRule="auto"/>
              <w:ind w:hanging="360"/>
              <w:jc w:val="left"/>
            </w:pPr>
            <w:r>
              <w:t xml:space="preserve">Euroopa noorte valitsusväline organisatsioon; </w:t>
            </w:r>
          </w:p>
          <w:p w:rsidR="00005619" w:rsidRDefault="006E5F36">
            <w:pPr>
              <w:numPr>
                <w:ilvl w:val="0"/>
                <w:numId w:val="4"/>
              </w:numPr>
              <w:spacing w:after="82" w:line="277" w:lineRule="auto"/>
              <w:ind w:hanging="360"/>
              <w:jc w:val="left"/>
            </w:pPr>
            <w:r>
              <w:t>rühm noori, kes tegeleb noorsootööga, ent mitte ilmtingimata mõnes noorteorganisatsioonis (st mitteam</w:t>
            </w:r>
            <w:r>
              <w:t>etlik noorterühm</w:t>
            </w:r>
            <w:r>
              <w:rPr>
                <w:vertAlign w:val="superscript"/>
              </w:rPr>
              <w:footnoteReference w:id="1"/>
            </w:r>
            <w:r>
              <w:t xml:space="preserve">).  </w:t>
            </w:r>
          </w:p>
          <w:p w:rsidR="00005619" w:rsidRDefault="006E5F36">
            <w:pPr>
              <w:spacing w:after="99" w:line="235" w:lineRule="auto"/>
              <w:ind w:left="0" w:firstLine="0"/>
              <w:jc w:val="left"/>
            </w:pPr>
            <w:r>
              <w:t xml:space="preserve">Programmiriigis asutatud kõrgkoolidel peab olema kehtiv Erasmuse kõrgharidusharta. Partnerriikides asutatud osalevate kõrgkoolide puhul Erasmuse kõrgharidusharta omamist ei nõuta, ent nad peavad kinni pidama harta põhimõtetest. </w:t>
            </w:r>
          </w:p>
          <w:p w:rsidR="00005619" w:rsidRDefault="006E5F36">
            <w:pPr>
              <w:spacing w:after="76" w:line="259" w:lineRule="auto"/>
              <w:ind w:left="0" w:firstLine="0"/>
              <w:jc w:val="left"/>
            </w:pPr>
            <w:r>
              <w:t xml:space="preserve"> </w:t>
            </w:r>
          </w:p>
          <w:p w:rsidR="00005619" w:rsidRDefault="006E5F36">
            <w:pPr>
              <w:spacing w:after="93" w:line="237" w:lineRule="auto"/>
              <w:ind w:left="0" w:firstLine="0"/>
              <w:jc w:val="left"/>
            </w:pPr>
            <w:r>
              <w:t>Loovust edendavate partnerluste puhul on konkursikutse avatud eelkõige organisatsioonidele, kes on aktiivsed kultuuri- ja loomesektoris, mis tähendab kõiki sektoreid, mille tegevus põhineb kultuuriväärtustel ja/või kunstilisel ja muul loomingulisel väljend</w:t>
            </w:r>
            <w:r>
              <w:t>usel, olenemata sellest, kas selline tegevus on turu- või mitteturupõhine, millist tüüpi struktuur selle ellu viib ja olenemata sellest, kuidas struktuuri rahastatakse. Tegevus hõlmab selliste kaupade ja teenuste arendamist, loomist, tootmist, levitamist j</w:t>
            </w:r>
            <w:r>
              <w:t xml:space="preserve">a säilitamist, mis kätkevad kultuurilist, kunstilist või muud loomingulist väljendust, ning selliseid seonduvaid funktsioone nagu haridus või juhtimine. </w:t>
            </w:r>
          </w:p>
          <w:p w:rsidR="00005619" w:rsidRDefault="006E5F36">
            <w:pPr>
              <w:spacing w:after="0" w:line="259" w:lineRule="auto"/>
              <w:ind w:left="0" w:firstLine="0"/>
              <w:jc w:val="left"/>
            </w:pPr>
            <w:r>
              <w:t xml:space="preserve"> </w:t>
            </w:r>
          </w:p>
        </w:tc>
      </w:tr>
      <w:tr w:rsidR="00005619">
        <w:trPr>
          <w:trHeight w:val="960"/>
        </w:trPr>
        <w:tc>
          <w:tcPr>
            <w:tcW w:w="2075" w:type="dxa"/>
            <w:tcBorders>
              <w:top w:val="dashed" w:sz="4" w:space="0" w:color="000000"/>
              <w:left w:val="single" w:sz="4" w:space="0" w:color="000000"/>
              <w:bottom w:val="dashed" w:sz="4" w:space="0" w:color="000000"/>
              <w:right w:val="single" w:sz="8" w:space="0" w:color="000000"/>
            </w:tcBorders>
            <w:vAlign w:val="center"/>
          </w:tcPr>
          <w:p w:rsidR="00005619" w:rsidRDefault="006E5F36">
            <w:pPr>
              <w:spacing w:after="0" w:line="259" w:lineRule="auto"/>
              <w:ind w:left="0" w:firstLine="0"/>
              <w:jc w:val="left"/>
            </w:pPr>
            <w:r>
              <w:rPr>
                <w:b/>
              </w:rPr>
              <w:t xml:space="preserve">Kes võib esitada taotluse? </w:t>
            </w:r>
          </w:p>
        </w:tc>
        <w:tc>
          <w:tcPr>
            <w:tcW w:w="7222" w:type="dxa"/>
            <w:tcBorders>
              <w:top w:val="dashed" w:sz="4" w:space="0" w:color="000000"/>
              <w:left w:val="single" w:sz="8" w:space="0" w:color="000000"/>
              <w:bottom w:val="dashed" w:sz="4" w:space="0" w:color="000000"/>
              <w:right w:val="single" w:sz="4" w:space="0" w:color="000000"/>
            </w:tcBorders>
          </w:tcPr>
          <w:p w:rsidR="00005619" w:rsidRDefault="006E5F36">
            <w:pPr>
              <w:spacing w:after="96" w:line="238" w:lineRule="auto"/>
              <w:ind w:left="0" w:firstLine="0"/>
              <w:jc w:val="left"/>
            </w:pPr>
            <w:r>
              <w:t xml:space="preserve">Taotluse võib esitada iga programmiriigis asutatud osalev organisatsioon. See organisatsioon esitab taotluse kõikide projekti kaasatud osalevate organisatsioonide nimel.  </w:t>
            </w:r>
          </w:p>
          <w:p w:rsidR="00005619" w:rsidRDefault="006E5F36">
            <w:pPr>
              <w:spacing w:after="0" w:line="259" w:lineRule="auto"/>
              <w:ind w:left="0" w:firstLine="0"/>
              <w:jc w:val="left"/>
            </w:pPr>
            <w:r>
              <w:t xml:space="preserve"> </w:t>
            </w:r>
          </w:p>
        </w:tc>
      </w:tr>
      <w:tr w:rsidR="00005619">
        <w:trPr>
          <w:trHeight w:val="1080"/>
        </w:trPr>
        <w:tc>
          <w:tcPr>
            <w:tcW w:w="2075" w:type="dxa"/>
            <w:tcBorders>
              <w:top w:val="dashed" w:sz="4" w:space="0" w:color="000000"/>
              <w:left w:val="single" w:sz="4" w:space="0" w:color="000000"/>
              <w:bottom w:val="single" w:sz="4" w:space="0" w:color="000000"/>
              <w:right w:val="single" w:sz="8" w:space="0" w:color="000000"/>
            </w:tcBorders>
            <w:vAlign w:val="center"/>
          </w:tcPr>
          <w:p w:rsidR="00005619" w:rsidRDefault="006E5F36">
            <w:pPr>
              <w:spacing w:after="0" w:line="238" w:lineRule="auto"/>
              <w:ind w:left="0" w:firstLine="0"/>
              <w:jc w:val="left"/>
            </w:pPr>
            <w:r>
              <w:rPr>
                <w:b/>
              </w:rPr>
              <w:t xml:space="preserve">Osalevate organisatsioonide arv ja </w:t>
            </w:r>
          </w:p>
          <w:p w:rsidR="00005619" w:rsidRDefault="006E5F36">
            <w:pPr>
              <w:spacing w:after="0" w:line="259" w:lineRule="auto"/>
              <w:ind w:left="0" w:firstLine="0"/>
              <w:jc w:val="left"/>
            </w:pPr>
            <w:r>
              <w:rPr>
                <w:b/>
              </w:rPr>
              <w:t xml:space="preserve">profiil </w:t>
            </w:r>
          </w:p>
        </w:tc>
        <w:tc>
          <w:tcPr>
            <w:tcW w:w="7222" w:type="dxa"/>
            <w:tcBorders>
              <w:top w:val="dashed" w:sz="4" w:space="0" w:color="000000"/>
              <w:left w:val="single" w:sz="8" w:space="0" w:color="000000"/>
              <w:bottom w:val="single" w:sz="4" w:space="0" w:color="000000"/>
              <w:right w:val="single" w:sz="4" w:space="0" w:color="000000"/>
            </w:tcBorders>
          </w:tcPr>
          <w:p w:rsidR="00005619" w:rsidRDefault="006E5F36">
            <w:pPr>
              <w:spacing w:after="0" w:line="259" w:lineRule="auto"/>
              <w:ind w:left="0" w:firstLine="0"/>
              <w:jc w:val="left"/>
            </w:pPr>
            <w:r>
              <w:t>Strateegiline partnerlus on riikidev</w:t>
            </w:r>
            <w:r>
              <w:t>aheline ja selles peab kaasa lööma vähemalt kolm eri programmiriikidest pärit organisatsiooni. Osalevate organisatsioonide maksimumarvu ei ole kindlaks määratud. Projekti juhtimise ja rakendamise eelarve on siiski piiratud (kümne osaleva organisatsiooniga)</w:t>
            </w:r>
            <w:r>
              <w:t xml:space="preserve">. Toetuse taotlemisel tuleb ära märkida kõik osalevad organisatsioonid.   </w:t>
            </w:r>
          </w:p>
        </w:tc>
      </w:tr>
      <w:tr w:rsidR="00005619">
        <w:trPr>
          <w:trHeight w:val="2612"/>
        </w:trPr>
        <w:tc>
          <w:tcPr>
            <w:tcW w:w="2075" w:type="dxa"/>
            <w:tcBorders>
              <w:top w:val="dashed" w:sz="4" w:space="0" w:color="000000"/>
              <w:left w:val="single" w:sz="4" w:space="0" w:color="000000"/>
              <w:bottom w:val="dashed" w:sz="4" w:space="0" w:color="000000"/>
              <w:right w:val="single" w:sz="8" w:space="0" w:color="000000"/>
            </w:tcBorders>
            <w:vAlign w:val="center"/>
          </w:tcPr>
          <w:p w:rsidR="00005619" w:rsidRDefault="006E5F36">
            <w:pPr>
              <w:spacing w:after="0" w:line="259" w:lineRule="auto"/>
              <w:ind w:left="0" w:firstLine="0"/>
            </w:pPr>
            <w:r>
              <w:rPr>
                <w:b/>
              </w:rPr>
              <w:lastRenderedPageBreak/>
              <w:t xml:space="preserve">Tegevuse elluviimise koht (kohad) </w:t>
            </w:r>
          </w:p>
        </w:tc>
        <w:tc>
          <w:tcPr>
            <w:tcW w:w="7222" w:type="dxa"/>
            <w:tcBorders>
              <w:top w:val="dashed" w:sz="4" w:space="0" w:color="000000"/>
              <w:left w:val="single" w:sz="8" w:space="0" w:color="000000"/>
              <w:bottom w:val="dashed" w:sz="4" w:space="0" w:color="000000"/>
              <w:right w:val="single" w:sz="4" w:space="0" w:color="000000"/>
            </w:tcBorders>
          </w:tcPr>
          <w:p w:rsidR="00005619" w:rsidRDefault="006E5F36">
            <w:pPr>
              <w:spacing w:after="91" w:line="238" w:lineRule="auto"/>
              <w:ind w:left="0" w:firstLine="0"/>
              <w:jc w:val="left"/>
            </w:pPr>
            <w:r>
              <w:t xml:space="preserve">Füüsilised tegevused tuleb ellu viia projektis osalevate organisatsioonide riikides. Õppimis-, õpetamis- </w:t>
            </w:r>
            <w:r>
              <w:t xml:space="preserve">ja koolitustegevused õppijatele ja pikaajalised tegevused töötajatele saab organiseerida programmiriikides. </w:t>
            </w:r>
          </w:p>
          <w:p w:rsidR="00005619" w:rsidRDefault="006E5F36">
            <w:pPr>
              <w:spacing w:after="134" w:line="238" w:lineRule="auto"/>
              <w:ind w:left="0" w:firstLine="0"/>
            </w:pPr>
            <w:r>
              <w:t xml:space="preserve">Lisaks sellele, kui seda on nõuetekohaselt põhjendatud seoses projekti eesmärkide või rakendamisega, siis  </w:t>
            </w:r>
          </w:p>
          <w:p w:rsidR="00005619" w:rsidRDefault="006E5F36">
            <w:pPr>
              <w:numPr>
                <w:ilvl w:val="0"/>
                <w:numId w:val="5"/>
              </w:numPr>
              <w:spacing w:after="58" w:line="227" w:lineRule="auto"/>
              <w:ind w:hanging="360"/>
            </w:pPr>
            <w:r>
              <w:t>võib tegevuse samuti ellu viia ELi inst</w:t>
            </w:r>
            <w:r>
              <w:t>itutsiooni asukohas, isegi kui projektis ei ole osalevaid organisatsioone riigist, kus institutsioon asub</w:t>
            </w:r>
            <w:r>
              <w:rPr>
                <w:vertAlign w:val="superscript"/>
              </w:rPr>
              <w:footnoteReference w:id="2"/>
            </w:r>
            <w:r>
              <w:t xml:space="preserve">;  </w:t>
            </w:r>
          </w:p>
          <w:p w:rsidR="00005619" w:rsidRDefault="006E5F36">
            <w:pPr>
              <w:numPr>
                <w:ilvl w:val="0"/>
                <w:numId w:val="5"/>
              </w:numPr>
              <w:spacing w:after="0" w:line="238" w:lineRule="auto"/>
              <w:ind w:hanging="360"/>
            </w:pPr>
            <w:r>
              <w:t xml:space="preserve">tulemuste levitusüritusi saab korraldada kõigi strateegilisse partnerlusse kaasatud assotsieerunud partnerite riigis. </w:t>
            </w:r>
          </w:p>
          <w:p w:rsidR="00005619" w:rsidRDefault="006E5F36">
            <w:pPr>
              <w:spacing w:after="0" w:line="259" w:lineRule="auto"/>
              <w:ind w:left="0" w:firstLine="0"/>
              <w:jc w:val="left"/>
            </w:pPr>
            <w:r>
              <w:t xml:space="preserve"> </w:t>
            </w:r>
          </w:p>
        </w:tc>
      </w:tr>
      <w:tr w:rsidR="00005619">
        <w:trPr>
          <w:trHeight w:val="2343"/>
        </w:trPr>
        <w:tc>
          <w:tcPr>
            <w:tcW w:w="2075" w:type="dxa"/>
            <w:tcBorders>
              <w:top w:val="dashed" w:sz="4" w:space="0" w:color="000000"/>
              <w:left w:val="single" w:sz="4" w:space="0" w:color="000000"/>
              <w:bottom w:val="dashed" w:sz="4" w:space="0" w:color="000000"/>
              <w:right w:val="single" w:sz="8" w:space="0" w:color="000000"/>
            </w:tcBorders>
            <w:vAlign w:val="center"/>
          </w:tcPr>
          <w:p w:rsidR="00005619" w:rsidRDefault="006E5F36">
            <w:pPr>
              <w:spacing w:after="0" w:line="259" w:lineRule="auto"/>
              <w:ind w:left="0" w:firstLine="0"/>
              <w:jc w:val="left"/>
            </w:pPr>
            <w:r>
              <w:rPr>
                <w:b/>
              </w:rPr>
              <w:t xml:space="preserve">Projekti kestus </w:t>
            </w:r>
          </w:p>
        </w:tc>
        <w:tc>
          <w:tcPr>
            <w:tcW w:w="7222" w:type="dxa"/>
            <w:tcBorders>
              <w:top w:val="dashed" w:sz="4" w:space="0" w:color="000000"/>
              <w:left w:val="single" w:sz="8" w:space="0" w:color="000000"/>
              <w:bottom w:val="dashed" w:sz="4" w:space="0" w:color="000000"/>
              <w:right w:val="single" w:sz="4" w:space="0" w:color="000000"/>
            </w:tcBorders>
          </w:tcPr>
          <w:p w:rsidR="00005619" w:rsidRDefault="006E5F36">
            <w:pPr>
              <w:spacing w:after="76" w:line="259" w:lineRule="auto"/>
              <w:ind w:left="0" w:firstLine="0"/>
              <w:jc w:val="left"/>
            </w:pPr>
            <w:r>
              <w:rPr>
                <w:b/>
              </w:rPr>
              <w:t>Partnerlused hariduse ja koolituse valdkonnas:</w:t>
            </w:r>
            <w:r>
              <w:t xml:space="preserve"> 12 kuni 24 kuud.  </w:t>
            </w:r>
          </w:p>
          <w:p w:rsidR="00005619" w:rsidRDefault="006E5F36">
            <w:pPr>
              <w:spacing w:after="77" w:line="259" w:lineRule="auto"/>
              <w:ind w:left="0" w:firstLine="0"/>
              <w:jc w:val="left"/>
            </w:pPr>
            <w:r>
              <w:rPr>
                <w:b/>
              </w:rPr>
              <w:t>Partnerlused noorte valdkonnas:</w:t>
            </w:r>
            <w:r>
              <w:t xml:space="preserve"> 6 kuni 24 kuud.  </w:t>
            </w:r>
          </w:p>
          <w:p w:rsidR="00005619" w:rsidRDefault="006E5F36">
            <w:pPr>
              <w:spacing w:after="72" w:line="259" w:lineRule="auto"/>
              <w:ind w:left="0" w:firstLine="0"/>
              <w:jc w:val="left"/>
            </w:pPr>
            <w:r>
              <w:t xml:space="preserve"> </w:t>
            </w:r>
          </w:p>
          <w:p w:rsidR="00005619" w:rsidRDefault="006E5F36">
            <w:pPr>
              <w:spacing w:after="96" w:line="238" w:lineRule="auto"/>
              <w:ind w:left="0" w:firstLine="0"/>
              <w:jc w:val="left"/>
            </w:pPr>
            <w:r>
              <w:t xml:space="preserve">Projekti kestus tuleb valida taotluse esitamise etapis, lähtudes projekti eesmärgist ja selle aja sisse kavandatava tegevuse liikidest.  </w:t>
            </w:r>
          </w:p>
          <w:p w:rsidR="00005619" w:rsidRDefault="006E5F36">
            <w:pPr>
              <w:spacing w:after="0" w:line="259" w:lineRule="auto"/>
              <w:ind w:left="0" w:right="170" w:firstLine="0"/>
            </w:pPr>
            <w:r>
              <w:t xml:space="preserve">Toetusesaaja taotlusel ja kokkuleppel riikliku bürooga võib pikendada strateegilise partnerluse kestust erandjuhtudel kuni 6 kuud. Toetuse kogusumma sellisel juhul ei muutu. Projektid tuleb igal juhul lõpule viia 31. detsembriks 2023.  </w:t>
            </w:r>
          </w:p>
        </w:tc>
      </w:tr>
      <w:tr w:rsidR="00005619">
        <w:trPr>
          <w:trHeight w:val="960"/>
        </w:trPr>
        <w:tc>
          <w:tcPr>
            <w:tcW w:w="2075" w:type="dxa"/>
            <w:tcBorders>
              <w:top w:val="dashed" w:sz="4" w:space="0" w:color="000000"/>
              <w:left w:val="single" w:sz="4" w:space="0" w:color="000000"/>
              <w:bottom w:val="dashed" w:sz="4" w:space="0" w:color="000000"/>
              <w:right w:val="single" w:sz="8" w:space="0" w:color="000000"/>
            </w:tcBorders>
            <w:vAlign w:val="center"/>
          </w:tcPr>
          <w:p w:rsidR="00005619" w:rsidRDefault="006E5F36">
            <w:pPr>
              <w:spacing w:after="0" w:line="259" w:lineRule="auto"/>
              <w:ind w:left="0" w:firstLine="0"/>
              <w:jc w:val="left"/>
            </w:pPr>
            <w:r>
              <w:rPr>
                <w:b/>
              </w:rPr>
              <w:t xml:space="preserve">Kellele taotlus esitada?  </w:t>
            </w:r>
          </w:p>
        </w:tc>
        <w:tc>
          <w:tcPr>
            <w:tcW w:w="7222" w:type="dxa"/>
            <w:tcBorders>
              <w:top w:val="dashed" w:sz="4" w:space="0" w:color="000000"/>
              <w:left w:val="single" w:sz="8" w:space="0" w:color="000000"/>
              <w:bottom w:val="dashed" w:sz="4" w:space="0" w:color="000000"/>
              <w:right w:val="single" w:sz="4" w:space="0" w:color="000000"/>
            </w:tcBorders>
          </w:tcPr>
          <w:p w:rsidR="00005619" w:rsidRDefault="006E5F36">
            <w:pPr>
              <w:spacing w:after="90" w:line="259" w:lineRule="auto"/>
              <w:ind w:left="0" w:firstLine="0"/>
              <w:jc w:val="left"/>
            </w:pPr>
            <w:r>
              <w:t>Selle riigi riiklikule büroole, kus asub taotlev organisatsioon</w:t>
            </w:r>
            <w:r>
              <w:rPr>
                <w:vertAlign w:val="superscript"/>
              </w:rPr>
              <w:footnoteReference w:id="3"/>
            </w:r>
            <w:r>
              <w:t xml:space="preserve">. </w:t>
            </w:r>
          </w:p>
          <w:p w:rsidR="00005619" w:rsidRDefault="006E5F36">
            <w:pPr>
              <w:spacing w:after="0" w:line="259" w:lineRule="auto"/>
              <w:ind w:left="0" w:firstLine="0"/>
              <w:jc w:val="left"/>
            </w:pPr>
            <w:r>
              <w:t xml:space="preserve">Sama partnerite konsortsium võib esitada üheks tähtajaks vaid ühe taotluse ja vaid ühele büroole. </w:t>
            </w:r>
          </w:p>
        </w:tc>
      </w:tr>
      <w:tr w:rsidR="00005619">
        <w:trPr>
          <w:trHeight w:val="859"/>
        </w:trPr>
        <w:tc>
          <w:tcPr>
            <w:tcW w:w="2075" w:type="dxa"/>
            <w:tcBorders>
              <w:top w:val="dashed" w:sz="4" w:space="0" w:color="000000"/>
              <w:left w:val="single" w:sz="4" w:space="0" w:color="000000"/>
              <w:bottom w:val="dashed" w:sz="4" w:space="0" w:color="000000"/>
              <w:right w:val="single" w:sz="8" w:space="0" w:color="000000"/>
            </w:tcBorders>
            <w:vAlign w:val="center"/>
          </w:tcPr>
          <w:p w:rsidR="00005619" w:rsidRDefault="006E5F36">
            <w:pPr>
              <w:spacing w:after="0" w:line="259" w:lineRule="auto"/>
              <w:ind w:left="0" w:firstLine="0"/>
              <w:jc w:val="left"/>
            </w:pPr>
            <w:r>
              <w:rPr>
                <w:b/>
              </w:rPr>
              <w:t xml:space="preserve">Millal taotlus esitada? </w:t>
            </w:r>
          </w:p>
        </w:tc>
        <w:tc>
          <w:tcPr>
            <w:tcW w:w="7222" w:type="dxa"/>
            <w:tcBorders>
              <w:top w:val="dashed" w:sz="4" w:space="0" w:color="000000"/>
              <w:left w:val="single" w:sz="8" w:space="0" w:color="000000"/>
              <w:bottom w:val="dashed" w:sz="4" w:space="0" w:color="000000"/>
              <w:right w:val="single" w:sz="4" w:space="0" w:color="000000"/>
            </w:tcBorders>
          </w:tcPr>
          <w:p w:rsidR="00005619" w:rsidRDefault="006E5F36">
            <w:pPr>
              <w:spacing w:after="0" w:line="259" w:lineRule="auto"/>
              <w:ind w:left="0" w:right="256" w:firstLine="0"/>
              <w:jc w:val="left"/>
            </w:pPr>
            <w:r>
              <w:t>Taotlejad peavad esitama oma toetusta</w:t>
            </w:r>
            <w:r>
              <w:t xml:space="preserve">otluse hiljemalt </w:t>
            </w:r>
            <w:r>
              <w:rPr>
                <w:b/>
              </w:rPr>
              <w:t>29. oktoobril kell 12.00 (keskpäev Brüsseli aja järgi)</w:t>
            </w:r>
            <w:r>
              <w:t xml:space="preserve"> projektide puhul, mida hakatakse ellu viima ajavahemikus järgmise aasta 1. märtsist kuni 30. juunini.</w:t>
            </w:r>
            <w:r>
              <w:rPr>
                <w:sz w:val="24"/>
              </w:rPr>
              <w:t xml:space="preserve"> </w:t>
            </w:r>
          </w:p>
        </w:tc>
      </w:tr>
      <w:tr w:rsidR="00005619">
        <w:trPr>
          <w:trHeight w:val="423"/>
        </w:trPr>
        <w:tc>
          <w:tcPr>
            <w:tcW w:w="2075" w:type="dxa"/>
            <w:tcBorders>
              <w:top w:val="dashed" w:sz="4" w:space="0" w:color="000000"/>
              <w:left w:val="single" w:sz="4" w:space="0" w:color="000000"/>
              <w:bottom w:val="single" w:sz="4" w:space="0" w:color="000000"/>
              <w:right w:val="single" w:sz="8" w:space="0" w:color="000000"/>
            </w:tcBorders>
          </w:tcPr>
          <w:p w:rsidR="00005619" w:rsidRDefault="006E5F36">
            <w:pPr>
              <w:spacing w:after="0" w:line="259" w:lineRule="auto"/>
              <w:ind w:left="0" w:firstLine="0"/>
              <w:jc w:val="left"/>
            </w:pPr>
            <w:r>
              <w:rPr>
                <w:b/>
              </w:rPr>
              <w:t xml:space="preserve">Kuidas esitada taotlus? </w:t>
            </w:r>
          </w:p>
        </w:tc>
        <w:tc>
          <w:tcPr>
            <w:tcW w:w="7222" w:type="dxa"/>
            <w:tcBorders>
              <w:top w:val="dashed" w:sz="4" w:space="0" w:color="000000"/>
              <w:left w:val="single" w:sz="8" w:space="0" w:color="000000"/>
              <w:bottom w:val="single" w:sz="4" w:space="0" w:color="000000"/>
              <w:right w:val="single" w:sz="4" w:space="0" w:color="000000"/>
            </w:tcBorders>
          </w:tcPr>
          <w:p w:rsidR="00005619" w:rsidRDefault="006E5F36">
            <w:pPr>
              <w:spacing w:after="0" w:line="259" w:lineRule="auto"/>
              <w:ind w:left="0" w:firstLine="0"/>
              <w:jc w:val="left"/>
            </w:pPr>
            <w:r>
              <w:t xml:space="preserve">Üksikasjaliku teabe selle kohta, kuidas esitada taotlus, leiab käesoleva juhendi C osast. </w:t>
            </w:r>
          </w:p>
        </w:tc>
      </w:tr>
    </w:tbl>
    <w:p w:rsidR="00005619" w:rsidRDefault="006E5F36">
      <w:pPr>
        <w:spacing w:after="270" w:line="259" w:lineRule="auto"/>
        <w:ind w:left="0" w:firstLine="0"/>
        <w:jc w:val="left"/>
      </w:pPr>
      <w:r>
        <w:t xml:space="preserve"> </w:t>
      </w:r>
    </w:p>
    <w:p w:rsidR="00005619" w:rsidRDefault="006E5F36">
      <w:pPr>
        <w:pStyle w:val="Heading2"/>
        <w:ind w:left="-5"/>
      </w:pPr>
      <w:r>
        <w:rPr>
          <w:sz w:val="20"/>
        </w:rPr>
        <w:t>T</w:t>
      </w:r>
      <w:r>
        <w:t>ÄIENDAVAD ABIKÕLBLIKKUSKRITEERIUMID</w:t>
      </w:r>
      <w:r>
        <w:rPr>
          <w:sz w:val="20"/>
        </w:rPr>
        <w:t xml:space="preserve"> </w:t>
      </w:r>
    </w:p>
    <w:p w:rsidR="00005619" w:rsidRDefault="006E5F36">
      <w:pPr>
        <w:ind w:left="-5" w:right="30"/>
      </w:pPr>
      <w:r>
        <w:t xml:space="preserve">Lisaks sellele, kui strateegilises partnerluses nähakse ette mis tahes järgmised riikidevahelised õppe-, õpetamis- </w:t>
      </w:r>
      <w:r>
        <w:t xml:space="preserve">ja koolitustegevused, tuleb võtta arvesse asjaomaseid täiendavaid abikõlblikkuskriteeriume, mis on esitatud käesoleva juhendi jaotises „Milliseid kriteeriume kasutatakse strateegilise partnerluse hindamisel – täiendavad </w:t>
      </w:r>
      <w:proofErr w:type="gramStart"/>
      <w:r>
        <w:t>abikõlblikkuskriteeriumid“</w:t>
      </w:r>
      <w:proofErr w:type="gramEnd"/>
      <w:r>
        <w:t xml:space="preserve">. </w:t>
      </w:r>
    </w:p>
    <w:p w:rsidR="00005619" w:rsidRDefault="006E5F36">
      <w:pPr>
        <w:spacing w:after="2" w:line="259" w:lineRule="auto"/>
        <w:ind w:left="0" w:firstLine="0"/>
        <w:jc w:val="left"/>
      </w:pPr>
      <w:r>
        <w:rPr>
          <w:sz w:val="16"/>
        </w:rPr>
        <w:t xml:space="preserve"> </w:t>
      </w:r>
    </w:p>
    <w:p w:rsidR="00005619" w:rsidRDefault="006E5F36">
      <w:pPr>
        <w:spacing w:after="283"/>
        <w:ind w:left="-5" w:right="30"/>
      </w:pPr>
      <w:r>
        <w:t>Taotl</w:t>
      </w:r>
      <w:r>
        <w:t xml:space="preserve">evaid organisatsioone hinnatakse asjaomaste </w:t>
      </w:r>
      <w:r>
        <w:rPr>
          <w:b/>
        </w:rPr>
        <w:t>kõrvalejätmise ja valikukriteeriumide</w:t>
      </w:r>
      <w:r>
        <w:t xml:space="preserve"> põhjal. Lisateabe saamiseks palume tutvuda käesoleva juhendi C osaga.  </w:t>
      </w:r>
    </w:p>
    <w:p w:rsidR="00005619" w:rsidRDefault="006E5F36">
      <w:pPr>
        <w:pStyle w:val="Heading2"/>
        <w:ind w:left="-5"/>
      </w:pPr>
      <w:r>
        <w:rPr>
          <w:sz w:val="20"/>
        </w:rPr>
        <w:t>T</w:t>
      </w:r>
      <w:r>
        <w:t xml:space="preserve">OETUSE ANDMISE KRITEERIUMID </w:t>
      </w:r>
      <w:r>
        <w:rPr>
          <w:sz w:val="20"/>
        </w:rPr>
        <w:t xml:space="preserve"> </w:t>
      </w:r>
    </w:p>
    <w:p w:rsidR="00005619" w:rsidRDefault="006E5F36">
      <w:pPr>
        <w:ind w:left="-5" w:right="30"/>
      </w:pPr>
      <w:r>
        <w:t>Olenevalt projekti eesmärkidest, osalevatest organisatsioonidest, eelda</w:t>
      </w:r>
      <w:r>
        <w:t>tavast mõjust ja muudest elementidest võivad strateegilised partnerlused olla erineva ulatusega ning selle järgi on kohandatud nende tegevus. Lihtsustatult öeldes võimaldab see meede osalevatel organisatsioonidel saada rahvusvahelise koostöö alaseid kogemu</w:t>
      </w:r>
      <w:r>
        <w:t xml:space="preserve">si ja suurendada oma suutlikkust, ent samuti jõuda kvaliteetsete innovaatiliste tulemusteni. Projekti kvaliteeti hinnatakse proportsionaalselt koostöö eesmärkidega ja kaasatud organisatsioonide laadiga.   </w:t>
      </w:r>
    </w:p>
    <w:p w:rsidR="00005619" w:rsidRDefault="006E5F36">
      <w:pPr>
        <w:spacing w:after="0" w:line="259" w:lineRule="auto"/>
        <w:ind w:left="0" w:firstLine="0"/>
        <w:jc w:val="left"/>
      </w:pPr>
      <w:r>
        <w:t xml:space="preserve"> </w:t>
      </w:r>
    </w:p>
    <w:p w:rsidR="00005619" w:rsidRDefault="006E5F36">
      <w:pPr>
        <w:ind w:left="-5" w:right="30"/>
      </w:pPr>
      <w:r>
        <w:lastRenderedPageBreak/>
        <w:t xml:space="preserve">Projekte hinnatakse järgmiste kriteeriumide alusel:  </w:t>
      </w:r>
    </w:p>
    <w:p w:rsidR="00005619" w:rsidRDefault="006E5F36">
      <w:pPr>
        <w:spacing w:after="0" w:line="259" w:lineRule="auto"/>
        <w:ind w:left="0" w:firstLine="0"/>
        <w:jc w:val="left"/>
      </w:pPr>
      <w:r>
        <w:t xml:space="preserve"> </w:t>
      </w:r>
    </w:p>
    <w:p w:rsidR="00005619" w:rsidRDefault="006E5F36">
      <w:pPr>
        <w:spacing w:after="576" w:line="259" w:lineRule="auto"/>
        <w:ind w:left="-1416" w:right="10534"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672389</wp:posOffset>
                </wp:positionH>
                <wp:positionV relativeFrom="page">
                  <wp:posOffset>804037</wp:posOffset>
                </wp:positionV>
                <wp:extent cx="1219" cy="6096"/>
                <wp:effectExtent l="0" t="0" r="0" b="0"/>
                <wp:wrapTopAndBottom/>
                <wp:docPr id="16317" name="Group 16317"/>
                <wp:cNvGraphicFramePr/>
                <a:graphic xmlns:a="http://schemas.openxmlformats.org/drawingml/2006/main">
                  <a:graphicData uri="http://schemas.microsoft.com/office/word/2010/wordprocessingGroup">
                    <wpg:wgp>
                      <wpg:cNvGrpSpPr/>
                      <wpg:grpSpPr>
                        <a:xfrm>
                          <a:off x="0" y="0"/>
                          <a:ext cx="1219" cy="6096"/>
                          <a:chOff x="0" y="0"/>
                          <a:chExt cx="1219" cy="6096"/>
                        </a:xfrm>
                      </wpg:grpSpPr>
                      <wps:wsp>
                        <wps:cNvPr id="1821" name="Shape 1821"/>
                        <wps:cNvSpPr/>
                        <wps:spPr>
                          <a:xfrm>
                            <a:off x="0" y="0"/>
                            <a:ext cx="1219" cy="0"/>
                          </a:xfrm>
                          <a:custGeom>
                            <a:avLst/>
                            <a:gdLst/>
                            <a:ahLst/>
                            <a:cxnLst/>
                            <a:rect l="0" t="0" r="0" b="0"/>
                            <a:pathLst>
                              <a:path w="1219">
                                <a:moveTo>
                                  <a:pt x="0" y="0"/>
                                </a:moveTo>
                                <a:lnTo>
                                  <a:pt x="1219"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317" style="width:0.0960007pt;height:0.48pt;position:absolute;mso-position-horizontal-relative:page;mso-position-horizontal:absolute;margin-left:52.944pt;mso-position-vertical-relative:page;margin-top:63.31pt;" coordsize="12,60">
                <v:shape id="Shape 1821" style="position:absolute;width:12;height:0;left:0;top:0;" coordsize="1219,0" path="m0,0l1219,0">
                  <v:stroke weight="0.48pt" endcap="flat" dashstyle="3 1" joinstyle="round" on="true" color="#000000"/>
                  <v:fill on="false" color="#000000" opacity="0"/>
                </v:shape>
                <w10:wrap type="topAndBottom"/>
              </v:group>
            </w:pict>
          </mc:Fallback>
        </mc:AlternateContent>
      </w:r>
    </w:p>
    <w:tbl>
      <w:tblPr>
        <w:tblStyle w:val="TableGrid"/>
        <w:tblW w:w="9296" w:type="dxa"/>
        <w:tblInd w:w="-110" w:type="dxa"/>
        <w:tblCellMar>
          <w:top w:w="0" w:type="dxa"/>
          <w:left w:w="0" w:type="dxa"/>
          <w:bottom w:w="4" w:type="dxa"/>
          <w:right w:w="64" w:type="dxa"/>
        </w:tblCellMar>
        <w:tblLook w:val="04A0" w:firstRow="1" w:lastRow="0" w:firstColumn="1" w:lastColumn="0" w:noHBand="0" w:noVBand="1"/>
      </w:tblPr>
      <w:tblGrid>
        <w:gridCol w:w="3232"/>
        <w:gridCol w:w="466"/>
        <w:gridCol w:w="5598"/>
      </w:tblGrid>
      <w:tr w:rsidR="00005619">
        <w:trPr>
          <w:trHeight w:val="4422"/>
        </w:trPr>
        <w:tc>
          <w:tcPr>
            <w:tcW w:w="3232" w:type="dxa"/>
            <w:tcBorders>
              <w:top w:val="single" w:sz="8" w:space="0" w:color="000000"/>
              <w:left w:val="single" w:sz="4" w:space="0" w:color="000000"/>
              <w:bottom w:val="dashed" w:sz="4" w:space="0" w:color="000000"/>
              <w:right w:val="single" w:sz="8" w:space="0" w:color="000000"/>
            </w:tcBorders>
            <w:vAlign w:val="center"/>
          </w:tcPr>
          <w:p w:rsidR="00005619" w:rsidRDefault="006E5F36">
            <w:pPr>
              <w:spacing w:after="0" w:line="259" w:lineRule="auto"/>
              <w:ind w:left="0" w:firstLine="0"/>
              <w:jc w:val="left"/>
            </w:pPr>
            <w:r>
              <w:rPr>
                <w:b/>
              </w:rPr>
              <w:t xml:space="preserve">Projekti asjakohasus </w:t>
            </w:r>
          </w:p>
          <w:p w:rsidR="00005619" w:rsidRDefault="006E5F36">
            <w:pPr>
              <w:spacing w:after="0" w:line="259" w:lineRule="auto"/>
              <w:ind w:left="0" w:firstLine="0"/>
              <w:jc w:val="left"/>
            </w:pPr>
            <w:r>
              <w:rPr>
                <w:b/>
              </w:rPr>
              <w:t xml:space="preserve">(kuni 30 punkti) </w:t>
            </w:r>
          </w:p>
          <w:p w:rsidR="00005619" w:rsidRDefault="006E5F36">
            <w:pPr>
              <w:spacing w:after="0" w:line="259" w:lineRule="auto"/>
              <w:ind w:left="0" w:firstLine="0"/>
              <w:jc w:val="left"/>
            </w:pPr>
            <w:r>
              <w:rPr>
                <w:b/>
              </w:rPr>
              <w:t xml:space="preserve"> </w:t>
            </w:r>
          </w:p>
        </w:tc>
        <w:tc>
          <w:tcPr>
            <w:tcW w:w="6064" w:type="dxa"/>
            <w:gridSpan w:val="2"/>
            <w:tcBorders>
              <w:top w:val="single" w:sz="8" w:space="0" w:color="000000"/>
              <w:left w:val="single" w:sz="8" w:space="0" w:color="000000"/>
              <w:bottom w:val="dashed" w:sz="4" w:space="0" w:color="000000"/>
              <w:right w:val="single" w:sz="8" w:space="0" w:color="000000"/>
            </w:tcBorders>
            <w:vAlign w:val="bottom"/>
          </w:tcPr>
          <w:p w:rsidR="00005619" w:rsidRDefault="006E5F36">
            <w:pPr>
              <w:numPr>
                <w:ilvl w:val="0"/>
                <w:numId w:val="6"/>
              </w:numPr>
              <w:spacing w:after="114" w:line="259" w:lineRule="auto"/>
              <w:ind w:hanging="360"/>
              <w:jc w:val="left"/>
            </w:pPr>
            <w:r>
              <w:t xml:space="preserve">Projektiettepaneku asjakohasus, võttes arvesse: </w:t>
            </w:r>
          </w:p>
          <w:p w:rsidR="00005619" w:rsidRDefault="006E5F36">
            <w:pPr>
              <w:numPr>
                <w:ilvl w:val="1"/>
                <w:numId w:val="6"/>
              </w:numPr>
              <w:spacing w:after="40" w:line="236" w:lineRule="auto"/>
              <w:ind w:hanging="360"/>
            </w:pPr>
            <w:r>
              <w:t>meetme eesmärke ja prioriteete (vt jaotis „Millised on COVID-19 olukorrale reageerimiseks loodud strateegil</w:t>
            </w:r>
            <w:r>
              <w:t xml:space="preserve">ise partnerluse eesmärgid?”).  </w:t>
            </w:r>
          </w:p>
          <w:p w:rsidR="00005619" w:rsidRDefault="006E5F36">
            <w:pPr>
              <w:numPr>
                <w:ilvl w:val="1"/>
                <w:numId w:val="6"/>
              </w:numPr>
              <w:spacing w:after="124" w:line="238" w:lineRule="auto"/>
              <w:ind w:hanging="360"/>
            </w:pPr>
            <w:r>
              <w:t xml:space="preserve">Kui ettepanek käsitleb ühte või mitut „Euroopa prioriteeti riiklikus </w:t>
            </w:r>
            <w:proofErr w:type="gramStart"/>
            <w:r>
              <w:t>kontekstis“</w:t>
            </w:r>
            <w:proofErr w:type="gramEnd"/>
            <w:r>
              <w:t xml:space="preserve">, nagu on teatanud riiklik büroo, siis loetakse seda väga oluliseks. </w:t>
            </w:r>
          </w:p>
          <w:p w:rsidR="00005619" w:rsidRDefault="006E5F36">
            <w:pPr>
              <w:numPr>
                <w:ilvl w:val="0"/>
                <w:numId w:val="6"/>
              </w:numPr>
              <w:spacing w:after="110" w:line="259" w:lineRule="auto"/>
              <w:ind w:hanging="360"/>
              <w:jc w:val="left"/>
            </w:pPr>
            <w:r>
              <w:t xml:space="preserve">Hinnatakse seda, mil määral </w:t>
            </w:r>
          </w:p>
          <w:p w:rsidR="00005619" w:rsidRDefault="006E5F36">
            <w:pPr>
              <w:numPr>
                <w:ilvl w:val="1"/>
                <w:numId w:val="6"/>
              </w:numPr>
              <w:spacing w:after="18" w:line="259" w:lineRule="auto"/>
              <w:ind w:hanging="360"/>
            </w:pPr>
            <w:r>
              <w:t xml:space="preserve">tugineb projektiettepanek tõelisele ja piisavale vajaduste analüüsile; </w:t>
            </w:r>
          </w:p>
          <w:p w:rsidR="00005619" w:rsidRDefault="006E5F36">
            <w:pPr>
              <w:numPr>
                <w:ilvl w:val="1"/>
                <w:numId w:val="6"/>
              </w:numPr>
              <w:spacing w:after="33" w:line="238" w:lineRule="auto"/>
              <w:ind w:hanging="360"/>
            </w:pPr>
            <w:r>
              <w:t xml:space="preserve">on eesmärgid selgelt määratletud ja realistlikud ning mil määral on käsitletud neis osalevatele organisatsioonidele ja sihtrühmadele olulisi küsimusi; </w:t>
            </w:r>
          </w:p>
          <w:p w:rsidR="00005619" w:rsidRDefault="006E5F36">
            <w:pPr>
              <w:numPr>
                <w:ilvl w:val="1"/>
                <w:numId w:val="6"/>
              </w:numPr>
              <w:spacing w:after="38" w:line="238" w:lineRule="auto"/>
              <w:ind w:hanging="360"/>
            </w:pPr>
            <w:r>
              <w:t>sobib projektiettepanek selleks,</w:t>
            </w:r>
            <w:r>
              <w:t xml:space="preserve"> et tekitada erinevate hariduse, koolituse ja noorte valdkondade koostoime; </w:t>
            </w:r>
          </w:p>
          <w:p w:rsidR="00005619" w:rsidRDefault="006E5F36">
            <w:pPr>
              <w:numPr>
                <w:ilvl w:val="1"/>
                <w:numId w:val="6"/>
              </w:numPr>
              <w:spacing w:after="32" w:line="238" w:lineRule="auto"/>
              <w:ind w:hanging="360"/>
            </w:pPr>
            <w:r>
              <w:t xml:space="preserve">on projektiettepanek innovaatiline ja/või mil määral täiendab see muid algatusi, mille osalevad organisatsioonid on juba ellu viinud; </w:t>
            </w:r>
          </w:p>
          <w:p w:rsidR="00005619" w:rsidRDefault="006E5F36">
            <w:pPr>
              <w:numPr>
                <w:ilvl w:val="1"/>
                <w:numId w:val="6"/>
              </w:numPr>
              <w:spacing w:after="0" w:line="259" w:lineRule="auto"/>
              <w:ind w:hanging="360"/>
            </w:pPr>
            <w:r>
              <w:t>toob projektiettepanek ELi tasandil lisaväär</w:t>
            </w:r>
            <w:r>
              <w:t xml:space="preserve">tust tulemuste kaudu, mida üks riik ei suudaks üksi tegutsedes saavutada. </w:t>
            </w:r>
          </w:p>
        </w:tc>
      </w:tr>
      <w:tr w:rsidR="00005619">
        <w:trPr>
          <w:trHeight w:val="5901"/>
        </w:trPr>
        <w:tc>
          <w:tcPr>
            <w:tcW w:w="3232" w:type="dxa"/>
            <w:tcBorders>
              <w:top w:val="dashed" w:sz="4" w:space="0" w:color="000000"/>
              <w:left w:val="single" w:sz="4" w:space="0" w:color="000000"/>
              <w:bottom w:val="dashed" w:sz="4" w:space="0" w:color="000000"/>
              <w:right w:val="single" w:sz="8" w:space="0" w:color="000000"/>
            </w:tcBorders>
            <w:vAlign w:val="center"/>
          </w:tcPr>
          <w:p w:rsidR="00005619" w:rsidRDefault="006E5F36">
            <w:pPr>
              <w:spacing w:after="0" w:line="238" w:lineRule="auto"/>
              <w:ind w:left="0" w:firstLine="0"/>
              <w:jc w:val="left"/>
            </w:pPr>
            <w:r>
              <w:rPr>
                <w:b/>
              </w:rPr>
              <w:t xml:space="preserve">Projekti ülesehituse ja elluviimise kvaliteet </w:t>
            </w:r>
          </w:p>
          <w:p w:rsidR="00005619" w:rsidRDefault="006E5F36">
            <w:pPr>
              <w:spacing w:after="0" w:line="259" w:lineRule="auto"/>
              <w:ind w:left="0" w:firstLine="0"/>
              <w:jc w:val="left"/>
            </w:pPr>
            <w:r>
              <w:rPr>
                <w:b/>
              </w:rPr>
              <w:t xml:space="preserve">(kuni 20 punkti) </w:t>
            </w:r>
          </w:p>
          <w:p w:rsidR="00005619" w:rsidRDefault="006E5F36">
            <w:pPr>
              <w:spacing w:after="0" w:line="259" w:lineRule="auto"/>
              <w:ind w:left="0" w:firstLine="0"/>
              <w:jc w:val="left"/>
            </w:pPr>
            <w:r>
              <w:rPr>
                <w:b/>
              </w:rPr>
              <w:t xml:space="preserve"> </w:t>
            </w:r>
          </w:p>
          <w:p w:rsidR="00005619" w:rsidRDefault="006E5F36">
            <w:pPr>
              <w:spacing w:after="0" w:line="259" w:lineRule="auto"/>
              <w:ind w:left="0" w:firstLine="0"/>
              <w:jc w:val="left"/>
            </w:pPr>
            <w:r>
              <w:rPr>
                <w:b/>
              </w:rPr>
              <w:t xml:space="preserve"> </w:t>
            </w:r>
          </w:p>
        </w:tc>
        <w:tc>
          <w:tcPr>
            <w:tcW w:w="6064" w:type="dxa"/>
            <w:gridSpan w:val="2"/>
            <w:tcBorders>
              <w:top w:val="dashed" w:sz="4" w:space="0" w:color="000000"/>
              <w:left w:val="single" w:sz="8" w:space="0" w:color="000000"/>
              <w:bottom w:val="dashed" w:sz="4" w:space="0" w:color="000000"/>
              <w:right w:val="single" w:sz="8" w:space="0" w:color="000000"/>
            </w:tcBorders>
          </w:tcPr>
          <w:p w:rsidR="00005619" w:rsidRDefault="006E5F36">
            <w:pPr>
              <w:numPr>
                <w:ilvl w:val="0"/>
                <w:numId w:val="7"/>
              </w:numPr>
              <w:spacing w:after="124" w:line="238" w:lineRule="auto"/>
              <w:ind w:hanging="360"/>
            </w:pPr>
            <w:r>
              <w:t xml:space="preserve">Tööprogrammi, sealhulgas asjakohaste ettevalmistus-, elluviimis-, järelevalve-, hindamis- </w:t>
            </w:r>
            <w:r>
              <w:t xml:space="preserve">ja levitamisetappide selgus, täielikkus ning kvaliteet. </w:t>
            </w:r>
          </w:p>
          <w:p w:rsidR="00005619" w:rsidRDefault="006E5F36">
            <w:pPr>
              <w:numPr>
                <w:ilvl w:val="0"/>
                <w:numId w:val="7"/>
              </w:numPr>
              <w:spacing w:after="100" w:line="259" w:lineRule="auto"/>
              <w:ind w:hanging="360"/>
            </w:pPr>
            <w:r>
              <w:t xml:space="preserve">Projekti eesmärkide ja kavandatud tegevuse kokkusobivus. </w:t>
            </w:r>
          </w:p>
          <w:p w:rsidR="00005619" w:rsidRDefault="006E5F36">
            <w:pPr>
              <w:numPr>
                <w:ilvl w:val="0"/>
                <w:numId w:val="7"/>
              </w:numPr>
              <w:spacing w:after="105" w:line="259" w:lineRule="auto"/>
              <w:ind w:hanging="360"/>
            </w:pPr>
            <w:r>
              <w:t xml:space="preserve">Kavandatud metoodika kvaliteet ja rakendatavus. </w:t>
            </w:r>
          </w:p>
          <w:p w:rsidR="00005619" w:rsidRDefault="006E5F36">
            <w:pPr>
              <w:numPr>
                <w:ilvl w:val="0"/>
                <w:numId w:val="7"/>
              </w:numPr>
              <w:spacing w:after="119" w:line="238" w:lineRule="auto"/>
              <w:ind w:hanging="360"/>
            </w:pPr>
            <w:r>
              <w:t xml:space="preserve">Kvaliteedikontrollimeetmete olemasolu ja asjakohasus tagamaks, et projekti elluviimine on kvaliteetne, lõpeb õigel ajal ning toimub eelarve järgi. </w:t>
            </w:r>
          </w:p>
          <w:p w:rsidR="00005619" w:rsidRDefault="006E5F36">
            <w:pPr>
              <w:numPr>
                <w:ilvl w:val="0"/>
                <w:numId w:val="7"/>
              </w:numPr>
              <w:spacing w:after="123" w:line="239" w:lineRule="auto"/>
              <w:ind w:hanging="360"/>
            </w:pPr>
            <w:r>
              <w:t xml:space="preserve">Mil määral on projekt kulutasuv ja mil määral eraldatakse selle raames igale meetmele asjakohased vahendid. </w:t>
            </w:r>
          </w:p>
          <w:p w:rsidR="00005619" w:rsidRDefault="006E5F36">
            <w:pPr>
              <w:numPr>
                <w:ilvl w:val="0"/>
                <w:numId w:val="7"/>
              </w:numPr>
              <w:spacing w:after="98" w:line="236" w:lineRule="auto"/>
              <w:ind w:hanging="360"/>
            </w:pPr>
            <w:r>
              <w:t>Kui see on kohaldatav, siis programmi „Erasmus</w:t>
            </w:r>
            <w:proofErr w:type="gramStart"/>
            <w:r>
              <w:t>+“ veebiplatvormide</w:t>
            </w:r>
            <w:proofErr w:type="gramEnd"/>
            <w:r>
              <w:t xml:space="preserve"> (nt eTwinning, Euroopa täiskasvanuõppe elektrooniline platvorm, School Education Gateway) kasutamine projektitegevuste ettevalmistamise, rakendamise ja nende suhtes järelmeetmete võtmise va</w:t>
            </w:r>
            <w:r>
              <w:t xml:space="preserve">henditena. </w:t>
            </w:r>
          </w:p>
          <w:p w:rsidR="00005619" w:rsidRDefault="006E5F36">
            <w:pPr>
              <w:spacing w:after="105" w:line="259" w:lineRule="auto"/>
              <w:ind w:left="0" w:firstLine="0"/>
              <w:jc w:val="left"/>
            </w:pPr>
            <w:r>
              <w:t xml:space="preserve">Kui projekti raames on ette nähtud koolitus-, õpetamis- või õppimistegevus: </w:t>
            </w:r>
          </w:p>
          <w:p w:rsidR="00005619" w:rsidRDefault="006E5F36">
            <w:pPr>
              <w:numPr>
                <w:ilvl w:val="0"/>
                <w:numId w:val="7"/>
              </w:numPr>
              <w:spacing w:after="119" w:line="238" w:lineRule="auto"/>
              <w:ind w:hanging="360"/>
            </w:pPr>
            <w:r>
              <w:t xml:space="preserve">õppimis-, õpetamis- ja koolitustegevuse praktilise korralduse, haldamise ja toetusmeetodite kvaliteet; </w:t>
            </w:r>
          </w:p>
          <w:p w:rsidR="00005619" w:rsidRDefault="006E5F36">
            <w:pPr>
              <w:numPr>
                <w:ilvl w:val="0"/>
                <w:numId w:val="7"/>
              </w:numPr>
              <w:spacing w:after="124" w:line="238" w:lineRule="auto"/>
              <w:ind w:hanging="360"/>
            </w:pPr>
            <w:r>
              <w:t>mil määral sobib see tegevus kokku projekti eesmärkidega ja mil</w:t>
            </w:r>
            <w:r>
              <w:t xml:space="preserve"> määral kaasatakse sellesse sobival arvul osalejaid; </w:t>
            </w:r>
          </w:p>
          <w:p w:rsidR="00005619" w:rsidRDefault="006E5F36">
            <w:pPr>
              <w:numPr>
                <w:ilvl w:val="0"/>
                <w:numId w:val="7"/>
              </w:numPr>
              <w:spacing w:after="0" w:line="259" w:lineRule="auto"/>
              <w:ind w:hanging="360"/>
            </w:pPr>
            <w:r>
              <w:t xml:space="preserve">Euroopa läbipaistvuse ja tunnustamise vahendite ning põhimõtetega kokkusobiva osalejate õpitulemuste tunnustamise ja valideerimise korra kvaliteet. </w:t>
            </w:r>
          </w:p>
        </w:tc>
      </w:tr>
      <w:tr w:rsidR="00005619">
        <w:trPr>
          <w:trHeight w:val="2331"/>
        </w:trPr>
        <w:tc>
          <w:tcPr>
            <w:tcW w:w="3232" w:type="dxa"/>
            <w:tcBorders>
              <w:top w:val="dashed" w:sz="4" w:space="0" w:color="000000"/>
              <w:left w:val="single" w:sz="4" w:space="0" w:color="000000"/>
              <w:bottom w:val="nil"/>
              <w:right w:val="single" w:sz="8" w:space="0" w:color="000000"/>
            </w:tcBorders>
            <w:vAlign w:val="bottom"/>
          </w:tcPr>
          <w:p w:rsidR="00005619" w:rsidRDefault="006E5F36">
            <w:pPr>
              <w:spacing w:line="233" w:lineRule="auto"/>
              <w:ind w:left="110" w:right="2" w:firstLine="0"/>
            </w:pPr>
            <w:r>
              <w:rPr>
                <w:b/>
              </w:rPr>
              <w:lastRenderedPageBreak/>
              <w:t xml:space="preserve">Projektimeeskonna ja koostöökorralduse kvaliteet </w:t>
            </w:r>
          </w:p>
          <w:p w:rsidR="00005619" w:rsidRDefault="006E5F36">
            <w:pPr>
              <w:spacing w:after="0" w:line="259" w:lineRule="auto"/>
              <w:ind w:left="110" w:firstLine="0"/>
              <w:jc w:val="left"/>
            </w:pPr>
            <w:r>
              <w:rPr>
                <w:b/>
              </w:rPr>
              <w:t xml:space="preserve">(kuni 20 punkti) </w:t>
            </w:r>
          </w:p>
        </w:tc>
        <w:tc>
          <w:tcPr>
            <w:tcW w:w="466" w:type="dxa"/>
            <w:tcBorders>
              <w:top w:val="dashed" w:sz="4" w:space="0" w:color="000000"/>
              <w:left w:val="single" w:sz="8" w:space="0" w:color="000000"/>
              <w:bottom w:val="nil"/>
              <w:right w:val="nil"/>
            </w:tcBorders>
          </w:tcPr>
          <w:p w:rsidR="00005619" w:rsidRDefault="006E5F36">
            <w:pPr>
              <w:spacing w:after="0" w:line="259" w:lineRule="auto"/>
              <w:ind w:left="110" w:firstLine="0"/>
              <w:jc w:val="left"/>
            </w:pPr>
            <w:r>
              <w:rPr>
                <w:rFonts w:ascii="Segoe UI Symbol" w:eastAsia="Segoe UI Symbol" w:hAnsi="Segoe UI Symbol" w:cs="Segoe UI Symbol"/>
              </w:rPr>
              <w:t></w:t>
            </w:r>
            <w:r>
              <w:rPr>
                <w:rFonts w:ascii="Arial" w:eastAsia="Arial" w:hAnsi="Arial" w:cs="Arial"/>
              </w:rPr>
              <w:t xml:space="preserve"> </w:t>
            </w:r>
          </w:p>
        </w:tc>
        <w:tc>
          <w:tcPr>
            <w:tcW w:w="5599" w:type="dxa"/>
            <w:tcBorders>
              <w:top w:val="dashed" w:sz="4" w:space="0" w:color="000000"/>
              <w:left w:val="nil"/>
              <w:bottom w:val="nil"/>
              <w:right w:val="single" w:sz="8" w:space="0" w:color="000000"/>
            </w:tcBorders>
            <w:vAlign w:val="center"/>
          </w:tcPr>
          <w:p w:rsidR="00005619" w:rsidRDefault="006E5F36">
            <w:pPr>
              <w:spacing w:after="114" w:line="259" w:lineRule="auto"/>
              <w:ind w:left="5" w:firstLine="0"/>
              <w:jc w:val="left"/>
            </w:pPr>
            <w:r>
              <w:t xml:space="preserve">Hinnatakse, mil määral </w:t>
            </w:r>
          </w:p>
          <w:p w:rsidR="00005619" w:rsidRDefault="006E5F36">
            <w:pPr>
              <w:numPr>
                <w:ilvl w:val="0"/>
                <w:numId w:val="8"/>
              </w:numPr>
              <w:spacing w:after="40" w:line="236" w:lineRule="auto"/>
              <w:ind w:right="41" w:hanging="360"/>
            </w:pPr>
            <w:r>
              <w:t xml:space="preserve">on kaasatud projekti sobiv kooslus täiendavatest osalevatest organisatsioonidest, kellel on vajalik profiil, kogemused ja oskusteave, et saavutada projekti kõikide aspektide edukad tulemused; </w:t>
            </w:r>
          </w:p>
          <w:p w:rsidR="00005619" w:rsidRDefault="006E5F36">
            <w:pPr>
              <w:numPr>
                <w:ilvl w:val="0"/>
                <w:numId w:val="8"/>
              </w:numPr>
              <w:spacing w:after="37" w:line="238" w:lineRule="auto"/>
              <w:ind w:right="41" w:hanging="360"/>
            </w:pPr>
            <w:r>
              <w:t xml:space="preserve">väljendab vastutuse ja ülesannete jagunemine kõikide osalevate organisatsioonide pühendumist ning aktiivset osalust; </w:t>
            </w:r>
          </w:p>
          <w:p w:rsidR="00005619" w:rsidRDefault="006E5F36">
            <w:pPr>
              <w:numPr>
                <w:ilvl w:val="0"/>
                <w:numId w:val="8"/>
              </w:numPr>
              <w:spacing w:after="0" w:line="259" w:lineRule="auto"/>
              <w:ind w:right="41" w:hanging="360"/>
            </w:pPr>
            <w:r>
              <w:t>(kui see on konkreetset liiki projekti puhul asjakohane) on kaasatud projekti organisatsioone erinevatest hariduse, koolituse ja noorte va</w:t>
            </w:r>
            <w:r>
              <w:t xml:space="preserve">ldkondadest ning teistest sotsiaal-majanduslikest sektoritest. </w:t>
            </w:r>
          </w:p>
        </w:tc>
      </w:tr>
      <w:tr w:rsidR="00005619">
        <w:trPr>
          <w:trHeight w:val="281"/>
        </w:trPr>
        <w:tc>
          <w:tcPr>
            <w:tcW w:w="3232" w:type="dxa"/>
            <w:tcBorders>
              <w:top w:val="nil"/>
              <w:left w:val="single" w:sz="4" w:space="0" w:color="000000"/>
              <w:bottom w:val="nil"/>
              <w:right w:val="single" w:sz="8" w:space="0" w:color="000000"/>
            </w:tcBorders>
          </w:tcPr>
          <w:p w:rsidR="00005619" w:rsidRDefault="006E5F36">
            <w:pPr>
              <w:spacing w:after="0" w:line="259" w:lineRule="auto"/>
              <w:ind w:left="110" w:firstLine="0"/>
              <w:jc w:val="left"/>
            </w:pPr>
            <w:r>
              <w:rPr>
                <w:b/>
              </w:rPr>
              <w:t xml:space="preserve"> </w:t>
            </w:r>
          </w:p>
        </w:tc>
        <w:tc>
          <w:tcPr>
            <w:tcW w:w="466" w:type="dxa"/>
            <w:tcBorders>
              <w:top w:val="nil"/>
              <w:left w:val="single" w:sz="8" w:space="0" w:color="000000"/>
              <w:bottom w:val="nil"/>
              <w:right w:val="nil"/>
            </w:tcBorders>
          </w:tcPr>
          <w:p w:rsidR="00005619" w:rsidRDefault="006E5F36">
            <w:pPr>
              <w:spacing w:after="0" w:line="259" w:lineRule="auto"/>
              <w:ind w:left="110" w:firstLine="0"/>
              <w:jc w:val="left"/>
            </w:pPr>
            <w:r>
              <w:rPr>
                <w:rFonts w:ascii="Segoe UI Symbol" w:eastAsia="Segoe UI Symbol" w:hAnsi="Segoe UI Symbol" w:cs="Segoe UI Symbol"/>
              </w:rPr>
              <w:t></w:t>
            </w:r>
            <w:r>
              <w:rPr>
                <w:rFonts w:ascii="Arial" w:eastAsia="Arial" w:hAnsi="Arial" w:cs="Arial"/>
              </w:rPr>
              <w:t xml:space="preserve"> </w:t>
            </w:r>
          </w:p>
        </w:tc>
        <w:tc>
          <w:tcPr>
            <w:tcW w:w="5599" w:type="dxa"/>
            <w:tcBorders>
              <w:top w:val="nil"/>
              <w:left w:val="nil"/>
              <w:bottom w:val="nil"/>
              <w:right w:val="single" w:sz="8" w:space="0" w:color="000000"/>
            </w:tcBorders>
          </w:tcPr>
          <w:p w:rsidR="00005619" w:rsidRDefault="006E5F36">
            <w:pPr>
              <w:spacing w:after="0" w:line="259" w:lineRule="auto"/>
              <w:ind w:left="5" w:firstLine="0"/>
              <w:jc w:val="left"/>
            </w:pPr>
            <w:r>
              <w:t xml:space="preserve">Mil määral kaasatakse projektiga meetmesse uusi tulijaid.   </w:t>
            </w:r>
          </w:p>
        </w:tc>
      </w:tr>
      <w:tr w:rsidR="00005619">
        <w:trPr>
          <w:trHeight w:val="763"/>
        </w:trPr>
        <w:tc>
          <w:tcPr>
            <w:tcW w:w="3232" w:type="dxa"/>
            <w:tcBorders>
              <w:top w:val="nil"/>
              <w:left w:val="single" w:sz="4" w:space="0" w:color="000000"/>
              <w:bottom w:val="nil"/>
              <w:right w:val="single" w:sz="8" w:space="0" w:color="000000"/>
            </w:tcBorders>
          </w:tcPr>
          <w:p w:rsidR="00005619" w:rsidRDefault="00005619">
            <w:pPr>
              <w:spacing w:after="160" w:line="259" w:lineRule="auto"/>
              <w:ind w:left="0" w:firstLine="0"/>
              <w:jc w:val="left"/>
            </w:pPr>
          </w:p>
        </w:tc>
        <w:tc>
          <w:tcPr>
            <w:tcW w:w="466" w:type="dxa"/>
            <w:tcBorders>
              <w:top w:val="nil"/>
              <w:left w:val="single" w:sz="8" w:space="0" w:color="000000"/>
              <w:bottom w:val="nil"/>
              <w:right w:val="nil"/>
            </w:tcBorders>
          </w:tcPr>
          <w:p w:rsidR="00005619" w:rsidRDefault="006E5F36">
            <w:pPr>
              <w:spacing w:after="0" w:line="259" w:lineRule="auto"/>
              <w:ind w:left="110" w:firstLine="0"/>
              <w:jc w:val="left"/>
            </w:pPr>
            <w:r>
              <w:rPr>
                <w:rFonts w:ascii="Segoe UI Symbol" w:eastAsia="Segoe UI Symbol" w:hAnsi="Segoe UI Symbol" w:cs="Segoe UI Symbol"/>
              </w:rPr>
              <w:t></w:t>
            </w:r>
            <w:r>
              <w:rPr>
                <w:rFonts w:ascii="Arial" w:eastAsia="Arial" w:hAnsi="Arial" w:cs="Arial"/>
              </w:rPr>
              <w:t xml:space="preserve"> </w:t>
            </w:r>
          </w:p>
        </w:tc>
        <w:tc>
          <w:tcPr>
            <w:tcW w:w="5599" w:type="dxa"/>
            <w:tcBorders>
              <w:top w:val="nil"/>
              <w:left w:val="nil"/>
              <w:bottom w:val="nil"/>
              <w:right w:val="single" w:sz="8" w:space="0" w:color="000000"/>
            </w:tcBorders>
          </w:tcPr>
          <w:p w:rsidR="00005619" w:rsidRDefault="006E5F36">
            <w:pPr>
              <w:spacing w:after="0" w:line="259" w:lineRule="auto"/>
              <w:ind w:left="5" w:right="43" w:firstLine="0"/>
            </w:pPr>
            <w:r>
              <w:t xml:space="preserve">Tõhusate mehhanismide olemasolu osalevate organisatsioonide vaheliseks ja teiste asjaomaste sidusrühmadega toimuvaks koordineerimiseks ning teabevahetuseks.  </w:t>
            </w:r>
          </w:p>
        </w:tc>
      </w:tr>
      <w:tr w:rsidR="00005619">
        <w:trPr>
          <w:trHeight w:val="798"/>
        </w:trPr>
        <w:tc>
          <w:tcPr>
            <w:tcW w:w="3232" w:type="dxa"/>
            <w:tcBorders>
              <w:top w:val="nil"/>
              <w:left w:val="single" w:sz="4" w:space="0" w:color="000000"/>
              <w:bottom w:val="dashed" w:sz="4" w:space="0" w:color="000000"/>
              <w:right w:val="single" w:sz="8" w:space="0" w:color="000000"/>
            </w:tcBorders>
          </w:tcPr>
          <w:p w:rsidR="00005619" w:rsidRDefault="00005619">
            <w:pPr>
              <w:spacing w:after="160" w:line="259" w:lineRule="auto"/>
              <w:ind w:left="0" w:firstLine="0"/>
              <w:jc w:val="left"/>
            </w:pPr>
          </w:p>
        </w:tc>
        <w:tc>
          <w:tcPr>
            <w:tcW w:w="466" w:type="dxa"/>
            <w:tcBorders>
              <w:top w:val="nil"/>
              <w:left w:val="single" w:sz="8" w:space="0" w:color="000000"/>
              <w:bottom w:val="dashed" w:sz="4" w:space="0" w:color="000000"/>
              <w:right w:val="nil"/>
            </w:tcBorders>
          </w:tcPr>
          <w:p w:rsidR="00005619" w:rsidRDefault="006E5F36">
            <w:pPr>
              <w:spacing w:after="0" w:line="259" w:lineRule="auto"/>
              <w:ind w:left="110" w:firstLine="0"/>
              <w:jc w:val="left"/>
            </w:pPr>
            <w:r>
              <w:rPr>
                <w:rFonts w:ascii="Segoe UI Symbol" w:eastAsia="Segoe UI Symbol" w:hAnsi="Segoe UI Symbol" w:cs="Segoe UI Symbol"/>
              </w:rPr>
              <w:t></w:t>
            </w:r>
            <w:r>
              <w:rPr>
                <w:rFonts w:ascii="Arial" w:eastAsia="Arial" w:hAnsi="Arial" w:cs="Arial"/>
              </w:rPr>
              <w:t xml:space="preserve"> </w:t>
            </w:r>
          </w:p>
        </w:tc>
        <w:tc>
          <w:tcPr>
            <w:tcW w:w="5599" w:type="dxa"/>
            <w:tcBorders>
              <w:top w:val="nil"/>
              <w:left w:val="nil"/>
              <w:bottom w:val="dashed" w:sz="4" w:space="0" w:color="000000"/>
              <w:right w:val="single" w:sz="8" w:space="0" w:color="000000"/>
            </w:tcBorders>
          </w:tcPr>
          <w:p w:rsidR="00005619" w:rsidRDefault="006E5F36">
            <w:pPr>
              <w:spacing w:after="0" w:line="259" w:lineRule="auto"/>
              <w:ind w:left="5" w:right="35" w:firstLine="0"/>
            </w:pPr>
            <w:r>
              <w:t xml:space="preserve">Kui see on asjakohane, mil määral toob partnerriigist pärit osaleva organisatsiooni kaasamine projekti olulist lisaväärtust (kui see tingimus ei ole täidetud, projekti väljavalimist ei kaaluta). </w:t>
            </w:r>
          </w:p>
        </w:tc>
      </w:tr>
      <w:tr w:rsidR="00005619">
        <w:trPr>
          <w:trHeight w:val="2448"/>
        </w:trPr>
        <w:tc>
          <w:tcPr>
            <w:tcW w:w="3232" w:type="dxa"/>
            <w:tcBorders>
              <w:top w:val="dashed" w:sz="4" w:space="0" w:color="000000"/>
              <w:left w:val="single" w:sz="4" w:space="0" w:color="000000"/>
              <w:bottom w:val="nil"/>
              <w:right w:val="single" w:sz="8" w:space="0" w:color="000000"/>
            </w:tcBorders>
            <w:vAlign w:val="bottom"/>
          </w:tcPr>
          <w:p w:rsidR="00005619" w:rsidRDefault="006E5F36">
            <w:pPr>
              <w:spacing w:after="0" w:line="259" w:lineRule="auto"/>
              <w:ind w:left="110" w:right="212" w:firstLine="0"/>
              <w:jc w:val="left"/>
            </w:pPr>
            <w:r>
              <w:rPr>
                <w:b/>
              </w:rPr>
              <w:t xml:space="preserve">Mõju ja tulemuste levitamine (kuni 30 punkti) </w:t>
            </w:r>
          </w:p>
        </w:tc>
        <w:tc>
          <w:tcPr>
            <w:tcW w:w="466" w:type="dxa"/>
            <w:tcBorders>
              <w:top w:val="dashed" w:sz="4" w:space="0" w:color="000000"/>
              <w:left w:val="single" w:sz="8" w:space="0" w:color="000000"/>
              <w:bottom w:val="nil"/>
              <w:right w:val="nil"/>
            </w:tcBorders>
          </w:tcPr>
          <w:p w:rsidR="00005619" w:rsidRDefault="006E5F36">
            <w:pPr>
              <w:spacing w:after="101" w:line="259" w:lineRule="auto"/>
              <w:ind w:left="110" w:firstLine="0"/>
              <w:jc w:val="left"/>
            </w:pPr>
            <w:r>
              <w:rPr>
                <w:rFonts w:ascii="Wingdings" w:eastAsia="Wingdings" w:hAnsi="Wingdings" w:cs="Wingdings"/>
              </w:rPr>
              <w:t></w:t>
            </w:r>
            <w:r>
              <w:rPr>
                <w:rFonts w:ascii="Arial" w:eastAsia="Arial" w:hAnsi="Arial" w:cs="Arial"/>
              </w:rPr>
              <w:t xml:space="preserve"> </w:t>
            </w:r>
          </w:p>
          <w:p w:rsidR="00005619" w:rsidRDefault="006E5F36">
            <w:pPr>
              <w:spacing w:after="1100" w:line="259" w:lineRule="auto"/>
              <w:ind w:left="110" w:firstLine="0"/>
              <w:jc w:val="left"/>
            </w:pPr>
            <w:r>
              <w:rPr>
                <w:rFonts w:ascii="Wingdings" w:eastAsia="Wingdings" w:hAnsi="Wingdings" w:cs="Wingdings"/>
              </w:rPr>
              <w:t></w:t>
            </w:r>
            <w:r>
              <w:rPr>
                <w:rFonts w:ascii="Arial" w:eastAsia="Arial" w:hAnsi="Arial" w:cs="Arial"/>
              </w:rPr>
              <w:t xml:space="preserve"> </w:t>
            </w:r>
          </w:p>
          <w:p w:rsidR="00005619" w:rsidRDefault="006E5F36">
            <w:pPr>
              <w:spacing w:after="0" w:line="259" w:lineRule="auto"/>
              <w:ind w:left="110" w:firstLine="0"/>
              <w:jc w:val="left"/>
            </w:pPr>
            <w:r>
              <w:rPr>
                <w:rFonts w:ascii="Wingdings" w:eastAsia="Wingdings" w:hAnsi="Wingdings" w:cs="Wingdings"/>
              </w:rPr>
              <w:t></w:t>
            </w:r>
            <w:r>
              <w:rPr>
                <w:rFonts w:ascii="Arial" w:eastAsia="Arial" w:hAnsi="Arial" w:cs="Arial"/>
              </w:rPr>
              <w:t xml:space="preserve"> </w:t>
            </w:r>
          </w:p>
        </w:tc>
        <w:tc>
          <w:tcPr>
            <w:tcW w:w="5599" w:type="dxa"/>
            <w:tcBorders>
              <w:top w:val="dashed" w:sz="4" w:space="0" w:color="000000"/>
              <w:left w:val="nil"/>
              <w:bottom w:val="nil"/>
              <w:right w:val="single" w:sz="8" w:space="0" w:color="000000"/>
            </w:tcBorders>
          </w:tcPr>
          <w:p w:rsidR="00005619" w:rsidRDefault="006E5F36">
            <w:pPr>
              <w:spacing w:after="72" w:line="259" w:lineRule="auto"/>
              <w:ind w:left="5" w:firstLine="0"/>
              <w:jc w:val="left"/>
            </w:pPr>
            <w:r>
              <w:t xml:space="preserve">Projekti tulemuste hindamise meetmete kvaliteet.  </w:t>
            </w:r>
          </w:p>
          <w:p w:rsidR="00005619" w:rsidRDefault="006E5F36">
            <w:pPr>
              <w:spacing w:after="114" w:line="259" w:lineRule="auto"/>
              <w:ind w:left="5" w:firstLine="0"/>
              <w:jc w:val="left"/>
            </w:pPr>
            <w:r>
              <w:t xml:space="preserve">Projekti võimalik mõju: </w:t>
            </w:r>
          </w:p>
          <w:p w:rsidR="00005619" w:rsidRDefault="006E5F36">
            <w:pPr>
              <w:numPr>
                <w:ilvl w:val="0"/>
                <w:numId w:val="9"/>
              </w:numPr>
              <w:spacing w:after="32" w:line="239" w:lineRule="auto"/>
              <w:ind w:hanging="360"/>
            </w:pPr>
            <w:r>
              <w:t xml:space="preserve">osalejatele ja osalevatele organisatsioonidele projekti ajal ning projekti lõppedes; </w:t>
            </w:r>
          </w:p>
          <w:p w:rsidR="00005619" w:rsidRDefault="006E5F36">
            <w:pPr>
              <w:numPr>
                <w:ilvl w:val="0"/>
                <w:numId w:val="9"/>
              </w:numPr>
              <w:spacing w:after="96" w:line="238" w:lineRule="auto"/>
              <w:ind w:hanging="360"/>
            </w:pPr>
            <w:r>
              <w:t xml:space="preserve">kohalikul, piirkondlikul, riiklikul ja/või Euroopa tasandil muudele kui projektis otseselt osalevatele organisatsioonidele ja isikutele. </w:t>
            </w:r>
          </w:p>
          <w:p w:rsidR="00005619" w:rsidRDefault="006E5F36">
            <w:pPr>
              <w:spacing w:after="0" w:line="259" w:lineRule="auto"/>
              <w:ind w:left="5" w:right="41" w:firstLine="0"/>
            </w:pPr>
            <w:r>
              <w:t>Tulemuste levitamise kava kvaliteet: nende meetmete asjakohasus ja kvaliteet, mille eesmärk on jagada projekti tulemus</w:t>
            </w:r>
            <w:r>
              <w:t xml:space="preserve">i osalevate organisatsioonide seas ning mujal. </w:t>
            </w:r>
          </w:p>
        </w:tc>
      </w:tr>
      <w:tr w:rsidR="00005619">
        <w:trPr>
          <w:trHeight w:val="1196"/>
        </w:trPr>
        <w:tc>
          <w:tcPr>
            <w:tcW w:w="3232" w:type="dxa"/>
            <w:tcBorders>
              <w:top w:val="nil"/>
              <w:left w:val="single" w:sz="4" w:space="0" w:color="000000"/>
              <w:bottom w:val="nil"/>
              <w:right w:val="single" w:sz="8" w:space="0" w:color="000000"/>
            </w:tcBorders>
          </w:tcPr>
          <w:p w:rsidR="00005619" w:rsidRDefault="006E5F36">
            <w:pPr>
              <w:spacing w:after="0" w:line="259" w:lineRule="auto"/>
              <w:ind w:left="110" w:firstLine="0"/>
              <w:jc w:val="left"/>
            </w:pPr>
            <w:r>
              <w:rPr>
                <w:b/>
              </w:rPr>
              <w:t xml:space="preserve"> </w:t>
            </w:r>
          </w:p>
        </w:tc>
        <w:tc>
          <w:tcPr>
            <w:tcW w:w="466" w:type="dxa"/>
            <w:tcBorders>
              <w:top w:val="nil"/>
              <w:left w:val="single" w:sz="8" w:space="0" w:color="000000"/>
              <w:bottom w:val="nil"/>
              <w:right w:val="nil"/>
            </w:tcBorders>
          </w:tcPr>
          <w:p w:rsidR="00005619" w:rsidRDefault="006E5F36">
            <w:pPr>
              <w:spacing w:after="0" w:line="259" w:lineRule="auto"/>
              <w:ind w:left="110" w:firstLine="0"/>
              <w:jc w:val="left"/>
            </w:pPr>
            <w:r>
              <w:rPr>
                <w:rFonts w:ascii="Wingdings" w:eastAsia="Wingdings" w:hAnsi="Wingdings" w:cs="Wingdings"/>
              </w:rPr>
              <w:t></w:t>
            </w:r>
            <w:r>
              <w:rPr>
                <w:rFonts w:ascii="Arial" w:eastAsia="Arial" w:hAnsi="Arial" w:cs="Arial"/>
              </w:rPr>
              <w:t xml:space="preserve"> </w:t>
            </w:r>
          </w:p>
        </w:tc>
        <w:tc>
          <w:tcPr>
            <w:tcW w:w="5599" w:type="dxa"/>
            <w:tcBorders>
              <w:top w:val="nil"/>
              <w:left w:val="nil"/>
              <w:bottom w:val="nil"/>
              <w:right w:val="single" w:sz="8" w:space="0" w:color="000000"/>
            </w:tcBorders>
          </w:tcPr>
          <w:p w:rsidR="00005619" w:rsidRDefault="006E5F36">
            <w:pPr>
              <w:spacing w:after="0" w:line="259" w:lineRule="auto"/>
              <w:ind w:left="5" w:right="37" w:firstLine="0"/>
            </w:pPr>
            <w:r>
              <w:t>Kui see on asjakohane, mil määral on projektiettepanekus kirjeldatud seda, kuidas koostatavad materjalid, dokumendid ja andmekandjad tehakse vabalt kättesaadavaks, kuidas neid tutvustatakse avatud litsentside kaudu, ning samuti seda, et nendega ei kaasne m</w:t>
            </w:r>
            <w:r>
              <w:t xml:space="preserve">ingeid ebaproportsionaalseid piiranguid. </w:t>
            </w:r>
          </w:p>
        </w:tc>
      </w:tr>
      <w:tr w:rsidR="00005619">
        <w:trPr>
          <w:trHeight w:val="798"/>
        </w:trPr>
        <w:tc>
          <w:tcPr>
            <w:tcW w:w="3232" w:type="dxa"/>
            <w:tcBorders>
              <w:top w:val="nil"/>
              <w:left w:val="single" w:sz="4" w:space="0" w:color="000000"/>
              <w:bottom w:val="single" w:sz="8" w:space="0" w:color="000000"/>
              <w:right w:val="single" w:sz="8" w:space="0" w:color="000000"/>
            </w:tcBorders>
          </w:tcPr>
          <w:p w:rsidR="00005619" w:rsidRDefault="00005619">
            <w:pPr>
              <w:spacing w:after="160" w:line="259" w:lineRule="auto"/>
              <w:ind w:left="0" w:firstLine="0"/>
              <w:jc w:val="left"/>
            </w:pPr>
          </w:p>
        </w:tc>
        <w:tc>
          <w:tcPr>
            <w:tcW w:w="466" w:type="dxa"/>
            <w:tcBorders>
              <w:top w:val="nil"/>
              <w:left w:val="single" w:sz="8" w:space="0" w:color="000000"/>
              <w:bottom w:val="single" w:sz="8" w:space="0" w:color="000000"/>
              <w:right w:val="nil"/>
            </w:tcBorders>
          </w:tcPr>
          <w:p w:rsidR="00005619" w:rsidRDefault="006E5F36">
            <w:pPr>
              <w:spacing w:after="0" w:line="259" w:lineRule="auto"/>
              <w:ind w:left="110" w:firstLine="0"/>
              <w:jc w:val="left"/>
            </w:pPr>
            <w:r>
              <w:rPr>
                <w:rFonts w:ascii="Wingdings" w:eastAsia="Wingdings" w:hAnsi="Wingdings" w:cs="Wingdings"/>
              </w:rPr>
              <w:t></w:t>
            </w:r>
            <w:r>
              <w:rPr>
                <w:rFonts w:ascii="Arial" w:eastAsia="Arial" w:hAnsi="Arial" w:cs="Arial"/>
              </w:rPr>
              <w:t xml:space="preserve"> </w:t>
            </w:r>
          </w:p>
        </w:tc>
        <w:tc>
          <w:tcPr>
            <w:tcW w:w="5599" w:type="dxa"/>
            <w:tcBorders>
              <w:top w:val="nil"/>
              <w:left w:val="nil"/>
              <w:bottom w:val="single" w:sz="8" w:space="0" w:color="000000"/>
              <w:right w:val="single" w:sz="8" w:space="0" w:color="000000"/>
            </w:tcBorders>
          </w:tcPr>
          <w:p w:rsidR="00005619" w:rsidRDefault="006E5F36">
            <w:pPr>
              <w:spacing w:after="0" w:line="259" w:lineRule="auto"/>
              <w:ind w:left="5" w:right="45" w:firstLine="0"/>
            </w:pPr>
            <w:r>
              <w:t xml:space="preserve">Projekti jätkusuutlikkuse tagamise kavade kvaliteet: projekti suutlikkus avaldada jätkuvalt mõju ja tuua tulemusi ka pärast ELi toetuse ärakasutamist. </w:t>
            </w:r>
          </w:p>
        </w:tc>
      </w:tr>
    </w:tbl>
    <w:p w:rsidR="00005619" w:rsidRDefault="006E5F36">
      <w:pPr>
        <w:spacing w:after="0" w:line="259" w:lineRule="auto"/>
        <w:ind w:left="0" w:firstLine="0"/>
        <w:jc w:val="left"/>
      </w:pPr>
      <w:r>
        <w:t xml:space="preserve"> </w:t>
      </w:r>
    </w:p>
    <w:p w:rsidR="00005619" w:rsidRDefault="006E5F36">
      <w:pPr>
        <w:ind w:left="-5" w:right="30"/>
      </w:pPr>
      <w:r>
        <w:t>Rahastamist kaalutakse üksnes selliste projektiettepanekute puhul, millele antakse vähemalt 60 punkti. Peale selle peavad projektid koguma iga eespool nimetatud toetuse andmise kriteeriumi puhul vähemalt poole maksimumpunktidest (st kriteeriumide „projekti</w:t>
      </w:r>
      <w:r>
        <w:t xml:space="preserve"> </w:t>
      </w:r>
      <w:proofErr w:type="gramStart"/>
      <w:r>
        <w:t>asjakohasus“ ning</w:t>
      </w:r>
      <w:proofErr w:type="gramEnd"/>
      <w:r>
        <w:t xml:space="preserve"> „mõju ja tulemuste levitamine“ puhul vähemalt 15 punkti ning kriteeriumide „projekti ülesehituse ja elluviimise kvaliteet“ ning „projektimeeskonna ja koostöökorralduse kvaliteet“ puhul vähemalt 10 punkti). Rahastatakse vaid neid projekti</w:t>
      </w:r>
      <w:r>
        <w:t xml:space="preserve">ettepanekuid, milles käsitletakse vähemalt üht meetme eesmärki. </w:t>
      </w:r>
    </w:p>
    <w:p w:rsidR="00005619" w:rsidRDefault="006E5F36">
      <w:pPr>
        <w:spacing w:after="280" w:line="259" w:lineRule="auto"/>
        <w:ind w:left="0" w:firstLine="0"/>
        <w:jc w:val="left"/>
      </w:pPr>
      <w:r>
        <w:t xml:space="preserve"> </w:t>
      </w:r>
    </w:p>
    <w:p w:rsidR="00005619" w:rsidRDefault="006E5F36">
      <w:pPr>
        <w:spacing w:after="182" w:line="265" w:lineRule="auto"/>
        <w:ind w:left="-5"/>
        <w:jc w:val="left"/>
      </w:pPr>
      <w:r>
        <w:rPr>
          <w:b/>
          <w:sz w:val="22"/>
        </w:rPr>
        <w:t>M</w:t>
      </w:r>
      <w:r>
        <w:rPr>
          <w:b/>
        </w:rPr>
        <w:t>ILLISED ON RAHASTAMISEESKIRJAD</w:t>
      </w:r>
      <w:r>
        <w:rPr>
          <w:b/>
          <w:sz w:val="22"/>
        </w:rPr>
        <w:t>?</w:t>
      </w:r>
      <w:r>
        <w:rPr>
          <w:b/>
        </w:rPr>
        <w:t xml:space="preserve"> </w:t>
      </w:r>
      <w:r>
        <w:rPr>
          <w:b/>
          <w:sz w:val="22"/>
        </w:rPr>
        <w:t xml:space="preserve"> </w:t>
      </w:r>
    </w:p>
    <w:p w:rsidR="00005619" w:rsidRDefault="006E5F36">
      <w:pPr>
        <w:ind w:left="-5" w:right="30"/>
      </w:pPr>
      <w:r>
        <w:t>COVID-19 olukorrale reageerimiseks loodud strateegilisi partnerlusi rahastatakse samade eeskirjade kohaselt, nagu on määratletud standardsete strateegilis</w:t>
      </w:r>
      <w:r>
        <w:t xml:space="preserve">te partnerluste puhul (vt jaotis „Hariduse, koolituse ja noorte valdkonna strateegilised partnerlused – millised on </w:t>
      </w:r>
      <w:proofErr w:type="gramStart"/>
      <w:r>
        <w:t>rahastamiseeskirjad?“</w:t>
      </w:r>
      <w:proofErr w:type="gramEnd"/>
      <w:r>
        <w:t xml:space="preserve">). COVID-19 olukorrale reageerimiseks loodud strateegiliste partnerluste projektitoetuste ülempiiriks on 300 000 eurot </w:t>
      </w:r>
      <w:r>
        <w:t xml:space="preserve">projektide puhul, mis kestavad 24 kuud.  </w:t>
      </w:r>
    </w:p>
    <w:p w:rsidR="00005619" w:rsidRDefault="006E5F36">
      <w:pPr>
        <w:spacing w:after="0" w:line="367" w:lineRule="auto"/>
        <w:ind w:left="0" w:right="9076" w:firstLine="0"/>
        <w:jc w:val="left"/>
      </w:pPr>
      <w:r>
        <w:t xml:space="preserve">  </w:t>
      </w:r>
    </w:p>
    <w:p w:rsidR="00005619" w:rsidRDefault="006E5F36">
      <w:pPr>
        <w:pStyle w:val="Heading2"/>
        <w:ind w:left="-5"/>
      </w:pPr>
      <w:r>
        <w:rPr>
          <w:sz w:val="20"/>
        </w:rPr>
        <w:lastRenderedPageBreak/>
        <w:t>M</w:t>
      </w:r>
      <w:r>
        <w:t>UU TEAVE</w:t>
      </w:r>
      <w:r>
        <w:rPr>
          <w:sz w:val="20"/>
        </w:rPr>
        <w:t xml:space="preserve"> </w:t>
      </w:r>
    </w:p>
    <w:p w:rsidR="00005619" w:rsidRDefault="006E5F36">
      <w:pPr>
        <w:spacing w:after="262"/>
        <w:ind w:left="-5" w:right="30"/>
      </w:pPr>
      <w:r>
        <w:t xml:space="preserve">Peale eespool toodu leiab </w:t>
      </w:r>
      <w:r>
        <w:rPr>
          <w:b/>
        </w:rPr>
        <w:t xml:space="preserve">käesoleva juhendi I lisast </w:t>
      </w:r>
      <w:r>
        <w:t xml:space="preserve">täiendavad kriteeriumid ja kasuliku lisateabe selle meetme kohta ning projektide näited. Huvitatud organisatsioonidel palutakse lugeda enne rahalise toetuse taotlemist hoolikalt läbi selle lisa asjaomased jaod. </w:t>
      </w:r>
    </w:p>
    <w:p w:rsidR="00005619" w:rsidRDefault="006E5F36">
      <w:pPr>
        <w:spacing w:after="231" w:line="259" w:lineRule="auto"/>
        <w:ind w:left="0" w:firstLine="0"/>
        <w:jc w:val="left"/>
      </w:pPr>
      <w:r>
        <w:rPr>
          <w:b/>
        </w:rPr>
        <w:t>M</w:t>
      </w:r>
      <w:r>
        <w:rPr>
          <w:b/>
          <w:sz w:val="14"/>
        </w:rPr>
        <w:t>ILLISED ON RAHASTAMISEESKIRJAD</w:t>
      </w:r>
      <w:r>
        <w:rPr>
          <w:b/>
        </w:rPr>
        <w:t xml:space="preserve">? </w:t>
      </w:r>
    </w:p>
    <w:p w:rsidR="00005619" w:rsidRDefault="006E5F36">
      <w:pPr>
        <w:spacing w:after="113"/>
        <w:ind w:left="-5" w:right="30"/>
      </w:pPr>
      <w:r>
        <w:t>Strateegil</w:t>
      </w:r>
      <w:r>
        <w:t>ised partnerlused ulatuvad väikeste organisatsioonide (koolide või mitteametlike noorterühmade) võrdlemisi lihtsatest koostööprojektidest kuni üsna keeruliste ja suuremahuliste projektideni, mille puhul keskendutakse innovaatiliste väljundite väljatöötamis</w:t>
      </w:r>
      <w:r>
        <w:t xml:space="preserve">ele ja vahetamisele kõikides hariduse, koolituse ja noortega seotud valdkondades. Seetõttu on eri liiki projektide puhul tekkivad kulud paratamatult erinevad. </w:t>
      </w:r>
    </w:p>
    <w:p w:rsidR="00005619" w:rsidRDefault="006E5F36">
      <w:pPr>
        <w:spacing w:after="108"/>
        <w:ind w:left="-5" w:right="30"/>
      </w:pPr>
      <w:r>
        <w:t>Sellest tulenevalt koosneb kavandatud rahastamismudel kuluartiklite loetelust, kust taotlejad te</w:t>
      </w:r>
      <w:r>
        <w:t>evad oma valiku vastavalt meetmetele, mida nad soovivad ellu viia, ja tulemustele, mida nad soovivad saavutada. Esimene kuluartikkel – „projekti haldamine ja elluviimine” – hõlmab kulusid, mille rahastamist võib taotleda iga liiki strateegilise partnerluse</w:t>
      </w:r>
      <w:r>
        <w:t xml:space="preserve"> puhul, sest need aitavad katta kulusid, mis tekivad iga projekti puhul. Strateegiliste partnerluste (v.a koolivahetuspartnerlused) puhul võib taotleda ka eritoetust riikidevaheliste projektikoosolekute korraldamiseks. Ülejäänud kuluartikleid võib valida v</w:t>
      </w:r>
      <w:r>
        <w:t>aid projektide puhul, mille raames püüeldakse selliste sisulisemate eesmärkide poole nagu intellektuaalsed väljundid/tooted, tulemuste levitamine või lõimitud õpetamis-, koolitus- ja õppimistegevus. Kui see on projekti meetmete/tulemuste seisukohast põhjen</w:t>
      </w:r>
      <w:r>
        <w:t xml:space="preserve">datud, võib peale selle katta ka erakorralised kulud ja erivajadustega isikute osalemisega seotud kulud. </w:t>
      </w:r>
    </w:p>
    <w:p w:rsidR="00005619" w:rsidRDefault="006E5F36">
      <w:pPr>
        <w:spacing w:after="233"/>
        <w:ind w:left="-5" w:right="30"/>
      </w:pPr>
      <w:r>
        <w:t>Kogu projekti toetus on muutuv summa, mille kindlaksmääramiseks korrutatakse 12 500 eurot projekti kestusega (kuudes) ning mille ülemmäär on 36kuulist</w:t>
      </w:r>
      <w:r>
        <w:t>e projektide puhul 450 000 eurot. Erandina kehtib koolivahetuspartnerluste puhul ülemmäär 16 500 eurot aastas ja osaleva kooli kohta projekti tasemel. Selle koolivahetuspartnerluste jaoks ettenähtud ülemmäära sisse ei arvestata erivajadustega osalejate toe</w:t>
      </w:r>
      <w:r>
        <w:t xml:space="preserve">tamiseks ja erakorraliste suurte reisikulude katmiseks mõeldud rahalisi vahendeid. </w:t>
      </w:r>
    </w:p>
    <w:p w:rsidR="00005619" w:rsidRDefault="006E5F36">
      <w:pPr>
        <w:spacing w:after="0" w:line="259" w:lineRule="auto"/>
        <w:ind w:left="0" w:firstLine="0"/>
        <w:jc w:val="left"/>
      </w:pPr>
      <w:r>
        <w:rPr>
          <w:b/>
        </w:rPr>
        <w:t xml:space="preserve"> </w:t>
      </w:r>
    </w:p>
    <w:sectPr w:rsidR="00005619">
      <w:headerReference w:type="even" r:id="rId7"/>
      <w:headerReference w:type="default" r:id="rId8"/>
      <w:footerReference w:type="even" r:id="rId9"/>
      <w:footerReference w:type="default" r:id="rId10"/>
      <w:headerReference w:type="first" r:id="rId11"/>
      <w:footerReference w:type="first" r:id="rId12"/>
      <w:pgSz w:w="11904" w:h="16838"/>
      <w:pgMar w:top="2338" w:right="1370" w:bottom="1166" w:left="1416" w:header="833" w:footer="716" w:gutter="0"/>
      <w:pgNumType w:start="1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F36" w:rsidRDefault="006E5F36">
      <w:pPr>
        <w:spacing w:after="0" w:line="240" w:lineRule="auto"/>
      </w:pPr>
      <w:r>
        <w:separator/>
      </w:r>
    </w:p>
  </w:endnote>
  <w:endnote w:type="continuationSeparator" w:id="0">
    <w:p w:rsidR="006E5F36" w:rsidRDefault="006E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619" w:rsidRDefault="006E5F36">
    <w:pPr>
      <w:spacing w:after="0" w:line="259" w:lineRule="auto"/>
      <w:ind w:left="0" w:firstLine="0"/>
      <w:jc w:val="left"/>
    </w:pPr>
    <w:r>
      <w:fldChar w:fldCharType="begin"/>
    </w:r>
    <w:r>
      <w:instrText xml:space="preserve"> PAGE   \* MERGEFORMAT </w:instrText>
    </w:r>
    <w:r>
      <w:fldChar w:fldCharType="separate"/>
    </w:r>
    <w:r>
      <w:rPr>
        <w:sz w:val="16"/>
      </w:rPr>
      <w:t>110</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619" w:rsidRDefault="006E5F36">
    <w:pPr>
      <w:spacing w:after="0" w:line="259" w:lineRule="auto"/>
      <w:ind w:left="0" w:right="43" w:firstLine="0"/>
      <w:jc w:val="right"/>
    </w:pPr>
    <w:r>
      <w:fldChar w:fldCharType="begin"/>
    </w:r>
    <w:r>
      <w:instrText xml:space="preserve"> PAGE   \* MERGEFORMAT </w:instrText>
    </w:r>
    <w:r>
      <w:fldChar w:fldCharType="separate"/>
    </w:r>
    <w:r>
      <w:rPr>
        <w:sz w:val="16"/>
      </w:rPr>
      <w:t>111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619" w:rsidRDefault="006E5F36">
    <w:pPr>
      <w:spacing w:after="0" w:line="259" w:lineRule="auto"/>
      <w:ind w:left="0" w:firstLine="0"/>
      <w:jc w:val="left"/>
    </w:pPr>
    <w:r>
      <w:fldChar w:fldCharType="begin"/>
    </w:r>
    <w:r>
      <w:instrText xml:space="preserve"> PAGE   \* MERGEFORMAT </w:instrText>
    </w:r>
    <w:r>
      <w:fldChar w:fldCharType="separate"/>
    </w:r>
    <w:r>
      <w:rPr>
        <w:sz w:val="16"/>
      </w:rPr>
      <w:t>110</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F36" w:rsidRDefault="006E5F36">
      <w:pPr>
        <w:spacing w:after="0" w:line="259" w:lineRule="auto"/>
        <w:ind w:left="0" w:firstLine="0"/>
        <w:jc w:val="left"/>
      </w:pPr>
      <w:r>
        <w:separator/>
      </w:r>
    </w:p>
  </w:footnote>
  <w:footnote w:type="continuationSeparator" w:id="0">
    <w:p w:rsidR="006E5F36" w:rsidRDefault="006E5F36">
      <w:pPr>
        <w:spacing w:after="0" w:line="259" w:lineRule="auto"/>
        <w:ind w:left="0" w:firstLine="0"/>
        <w:jc w:val="left"/>
      </w:pPr>
      <w:r>
        <w:continuationSeparator/>
      </w:r>
    </w:p>
  </w:footnote>
  <w:footnote w:id="1">
    <w:p w:rsidR="00005619" w:rsidRDefault="006E5F36">
      <w:pPr>
        <w:pStyle w:val="footnotedescription"/>
        <w:jc w:val="both"/>
      </w:pPr>
      <w:r>
        <w:rPr>
          <w:rStyle w:val="footnotemark"/>
        </w:rPr>
        <w:footnoteRef/>
      </w:r>
      <w:r>
        <w:t xml:space="preserve"> Mitteametliku rühma korral võtab üks rühmaliige endale esindaja rolli ja vastutab rühm</w:t>
      </w:r>
      <w:r>
        <w:t xml:space="preserve">a nimel.  </w:t>
      </w:r>
    </w:p>
  </w:footnote>
  <w:footnote w:id="2">
    <w:p w:rsidR="00005619" w:rsidRDefault="006E5F36">
      <w:pPr>
        <w:pStyle w:val="footnotedescription"/>
      </w:pPr>
      <w:r>
        <w:rPr>
          <w:rStyle w:val="footnotemark"/>
        </w:rPr>
        <w:footnoteRef/>
      </w:r>
      <w:r>
        <w:t xml:space="preserve"> Euroopa Liidu institutsioonide asukohad on Brüssel, Frankfurt, Luxembourg, Strasbourg ja Haag. </w:t>
      </w:r>
    </w:p>
  </w:footnote>
  <w:footnote w:id="3">
    <w:p w:rsidR="00005619" w:rsidRDefault="006E5F36">
      <w:pPr>
        <w:pStyle w:val="footnotedescription"/>
        <w:spacing w:line="258" w:lineRule="auto"/>
      </w:pPr>
      <w:r>
        <w:rPr>
          <w:rStyle w:val="footnotemark"/>
        </w:rPr>
        <w:footnoteRef/>
      </w:r>
      <w:r>
        <w:t xml:space="preserve"> Märkus: koolid, kes tegutsevad mõne teise riigi ametiasutuse järelevalve all (nt prantsuse lütseumid, saksa koolid, Ühendkuningriigi relvajõudude</w:t>
      </w:r>
      <w:r>
        <w:t xml:space="preserve"> koolid), esitavad taotluse järelevalvet tegeva riigi riiklikku büroosse.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619" w:rsidRDefault="006E5F36">
    <w:pPr>
      <w:tabs>
        <w:tab w:val="center" w:pos="4511"/>
      </w:tabs>
      <w:spacing w:after="175"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900430</wp:posOffset>
          </wp:positionH>
          <wp:positionV relativeFrom="page">
            <wp:posOffset>1097026</wp:posOffset>
          </wp:positionV>
          <wp:extent cx="5628641" cy="2857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5628641" cy="2857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900430</wp:posOffset>
          </wp:positionH>
          <wp:positionV relativeFrom="page">
            <wp:posOffset>528955</wp:posOffset>
          </wp:positionV>
          <wp:extent cx="2091309" cy="44259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a:fillRect/>
                  </a:stretch>
                </pic:blipFill>
                <pic:spPr>
                  <a:xfrm>
                    <a:off x="0" y="0"/>
                    <a:ext cx="2091309" cy="442595"/>
                  </a:xfrm>
                  <a:prstGeom prst="rect">
                    <a:avLst/>
                  </a:prstGeom>
                </pic:spPr>
              </pic:pic>
            </a:graphicData>
          </a:graphic>
        </wp:anchor>
      </w:drawing>
    </w:r>
    <w:r>
      <w:rPr>
        <w:sz w:val="24"/>
      </w:rPr>
      <w:t xml:space="preserve"> </w:t>
    </w:r>
    <w:r>
      <w:rPr>
        <w:sz w:val="24"/>
      </w:rPr>
      <w:tab/>
    </w:r>
    <w:r>
      <w:rPr>
        <w:color w:val="0D79BB"/>
        <w:sz w:val="16"/>
      </w:rPr>
      <w:t xml:space="preserve">Programmijuhend </w:t>
    </w:r>
  </w:p>
  <w:p w:rsidR="00005619" w:rsidRDefault="006E5F36">
    <w:pPr>
      <w:spacing w:after="122" w:line="259" w:lineRule="auto"/>
      <w:ind w:left="0" w:right="6" w:firstLine="0"/>
      <w:jc w:val="right"/>
    </w:pPr>
    <w:r>
      <w:rPr>
        <w:color w:val="009EC7"/>
        <w:sz w:val="16"/>
      </w:rPr>
      <w:t xml:space="preserve"> </w:t>
    </w:r>
  </w:p>
  <w:p w:rsidR="00005619" w:rsidRDefault="006E5F36">
    <w:pPr>
      <w:spacing w:after="0" w:line="259" w:lineRule="auto"/>
      <w:ind w:left="-85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619" w:rsidRDefault="006E5F36">
    <w:pPr>
      <w:spacing w:after="0" w:line="259" w:lineRule="auto"/>
      <w:ind w:left="860" w:right="52" w:firstLine="0"/>
      <w:jc w:val="left"/>
    </w:pPr>
    <w:r>
      <w:rPr>
        <w:noProof/>
      </w:rPr>
      <w:drawing>
        <wp:anchor distT="0" distB="0" distL="114300" distR="114300" simplePos="0" relativeHeight="251660288" behindDoc="0" locked="0" layoutInCell="1" allowOverlap="0">
          <wp:simplePos x="0" y="0"/>
          <wp:positionH relativeFrom="page">
            <wp:posOffset>4564380</wp:posOffset>
          </wp:positionH>
          <wp:positionV relativeFrom="page">
            <wp:posOffset>528955</wp:posOffset>
          </wp:positionV>
          <wp:extent cx="2091309" cy="442595"/>
          <wp:effectExtent l="0" t="0" r="0" b="0"/>
          <wp:wrapSquare wrapText="bothSides"/>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
                  <a:stretch>
                    <a:fillRect/>
                  </a:stretch>
                </pic:blipFill>
                <pic:spPr>
                  <a:xfrm>
                    <a:off x="0" y="0"/>
                    <a:ext cx="2091309" cy="44259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900430</wp:posOffset>
          </wp:positionH>
          <wp:positionV relativeFrom="page">
            <wp:posOffset>1097026</wp:posOffset>
          </wp:positionV>
          <wp:extent cx="5628641" cy="28575"/>
          <wp:effectExtent l="0" t="0" r="0" b="0"/>
          <wp:wrapSquare wrapText="bothSides"/>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2"/>
                  <a:stretch>
                    <a:fillRect/>
                  </a:stretch>
                </pic:blipFill>
                <pic:spPr>
                  <a:xfrm>
                    <a:off x="0" y="0"/>
                    <a:ext cx="5628641" cy="28575"/>
                  </a:xfrm>
                  <a:prstGeom prst="rect">
                    <a:avLst/>
                  </a:prstGeom>
                </pic:spPr>
              </pic:pic>
            </a:graphicData>
          </a:graphic>
        </wp:anchor>
      </w:drawing>
    </w:r>
    <w:r>
      <w:rPr>
        <w:color w:val="0D79BB"/>
      </w:rPr>
      <w:t xml:space="preserve">B osa - Hariduse, koolituse ja noorte valdkonna strateegilised </w:t>
    </w:r>
  </w:p>
  <w:p w:rsidR="00005619" w:rsidRDefault="006E5F36">
    <w:pPr>
      <w:spacing w:after="240" w:line="259" w:lineRule="auto"/>
      <w:ind w:left="0" w:right="52" w:firstLine="0"/>
      <w:jc w:val="right"/>
    </w:pPr>
    <w:r>
      <w:rPr>
        <w:color w:val="0D79BB"/>
      </w:rPr>
      <w:t xml:space="preserve">partnerlused </w:t>
    </w:r>
    <w:r>
      <w:rPr>
        <w:color w:val="0D79BB"/>
        <w:sz w:val="16"/>
      </w:rPr>
      <w:t xml:space="preserve"> </w:t>
    </w:r>
  </w:p>
  <w:p w:rsidR="00005619" w:rsidRDefault="006E5F36">
    <w:pPr>
      <w:spacing w:after="122" w:line="259" w:lineRule="auto"/>
      <w:ind w:left="0" w:right="6" w:firstLine="0"/>
      <w:jc w:val="right"/>
    </w:pPr>
    <w:r>
      <w:rPr>
        <w:color w:val="009EC7"/>
        <w:sz w:val="16"/>
      </w:rPr>
      <w:t xml:space="preserve"> </w:t>
    </w:r>
  </w:p>
  <w:p w:rsidR="00005619" w:rsidRDefault="006E5F36">
    <w:pPr>
      <w:spacing w:after="0" w:line="259" w:lineRule="auto"/>
      <w:ind w:left="-850" w:firstLine="0"/>
      <w:jc w:val="left"/>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619" w:rsidRDefault="006E5F36">
    <w:pPr>
      <w:tabs>
        <w:tab w:val="center" w:pos="4511"/>
      </w:tabs>
      <w:spacing w:after="175" w:line="259" w:lineRule="auto"/>
      <w:ind w:left="0" w:firstLine="0"/>
      <w:jc w:val="left"/>
    </w:pPr>
    <w:r>
      <w:rPr>
        <w:noProof/>
      </w:rPr>
      <w:drawing>
        <wp:anchor distT="0" distB="0" distL="114300" distR="114300" simplePos="0" relativeHeight="251662336" behindDoc="0" locked="0" layoutInCell="1" allowOverlap="0">
          <wp:simplePos x="0" y="0"/>
          <wp:positionH relativeFrom="page">
            <wp:posOffset>900430</wp:posOffset>
          </wp:positionH>
          <wp:positionV relativeFrom="page">
            <wp:posOffset>1097026</wp:posOffset>
          </wp:positionV>
          <wp:extent cx="5628641" cy="285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5628641" cy="2857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900430</wp:posOffset>
          </wp:positionH>
          <wp:positionV relativeFrom="page">
            <wp:posOffset>528955</wp:posOffset>
          </wp:positionV>
          <wp:extent cx="2091309" cy="44259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a:fillRect/>
                  </a:stretch>
                </pic:blipFill>
                <pic:spPr>
                  <a:xfrm>
                    <a:off x="0" y="0"/>
                    <a:ext cx="2091309" cy="442595"/>
                  </a:xfrm>
                  <a:prstGeom prst="rect">
                    <a:avLst/>
                  </a:prstGeom>
                </pic:spPr>
              </pic:pic>
            </a:graphicData>
          </a:graphic>
        </wp:anchor>
      </w:drawing>
    </w:r>
    <w:r>
      <w:rPr>
        <w:sz w:val="24"/>
      </w:rPr>
      <w:t xml:space="preserve"> </w:t>
    </w:r>
    <w:r>
      <w:rPr>
        <w:sz w:val="24"/>
      </w:rPr>
      <w:tab/>
    </w:r>
    <w:r>
      <w:rPr>
        <w:color w:val="0D79BB"/>
        <w:sz w:val="16"/>
      </w:rPr>
      <w:t xml:space="preserve">Programmijuhend </w:t>
    </w:r>
  </w:p>
  <w:p w:rsidR="00005619" w:rsidRDefault="006E5F36">
    <w:pPr>
      <w:spacing w:after="122" w:line="259" w:lineRule="auto"/>
      <w:ind w:left="0" w:right="6" w:firstLine="0"/>
      <w:jc w:val="right"/>
    </w:pPr>
    <w:r>
      <w:rPr>
        <w:color w:val="009EC7"/>
        <w:sz w:val="16"/>
      </w:rPr>
      <w:t xml:space="preserve"> </w:t>
    </w:r>
  </w:p>
  <w:p w:rsidR="00005619" w:rsidRDefault="006E5F36">
    <w:pPr>
      <w:spacing w:after="0" w:line="259" w:lineRule="auto"/>
      <w:ind w:left="-85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0FA"/>
    <w:multiLevelType w:val="hybridMultilevel"/>
    <w:tmpl w:val="02804320"/>
    <w:lvl w:ilvl="0" w:tplc="8700ADF0">
      <w:start w:val="1"/>
      <w:numFmt w:val="bullet"/>
      <w:lvlText w:val=""/>
      <w:lvlJc w:val="left"/>
      <w:pPr>
        <w:ind w:left="72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5DAE4B5A">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91EB6E2">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71823B0">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5FAC9DB6">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D6A28ED4">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47C50F6">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452AEF38">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55AB36A">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F93445A"/>
    <w:multiLevelType w:val="hybridMultilevel"/>
    <w:tmpl w:val="C180CC24"/>
    <w:lvl w:ilvl="0" w:tplc="0E30C534">
      <w:start w:val="1"/>
      <w:numFmt w:val="bullet"/>
      <w:lvlText w:val="•"/>
      <w:lvlJc w:val="left"/>
      <w:pPr>
        <w:ind w:left="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42703C">
      <w:start w:val="1"/>
      <w:numFmt w:val="bullet"/>
      <w:lvlText w:val="o"/>
      <w:lvlJc w:val="left"/>
      <w:pPr>
        <w:ind w:left="14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8B049D2">
      <w:start w:val="1"/>
      <w:numFmt w:val="bullet"/>
      <w:lvlText w:val="▪"/>
      <w:lvlJc w:val="left"/>
      <w:pPr>
        <w:ind w:left="21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C04A08E">
      <w:start w:val="1"/>
      <w:numFmt w:val="bullet"/>
      <w:lvlText w:val="•"/>
      <w:lvlJc w:val="left"/>
      <w:pPr>
        <w:ind w:left="28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9C4AFE">
      <w:start w:val="1"/>
      <w:numFmt w:val="bullet"/>
      <w:lvlText w:val="o"/>
      <w:lvlJc w:val="left"/>
      <w:pPr>
        <w:ind w:left="35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6F45B7E">
      <w:start w:val="1"/>
      <w:numFmt w:val="bullet"/>
      <w:lvlText w:val="▪"/>
      <w:lvlJc w:val="left"/>
      <w:pPr>
        <w:ind w:left="43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8DCC2A4">
      <w:start w:val="1"/>
      <w:numFmt w:val="bullet"/>
      <w:lvlText w:val="•"/>
      <w:lvlJc w:val="left"/>
      <w:pPr>
        <w:ind w:left="50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B4AFEA">
      <w:start w:val="1"/>
      <w:numFmt w:val="bullet"/>
      <w:lvlText w:val="o"/>
      <w:lvlJc w:val="left"/>
      <w:pPr>
        <w:ind w:left="57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42ACA7C">
      <w:start w:val="1"/>
      <w:numFmt w:val="bullet"/>
      <w:lvlText w:val="▪"/>
      <w:lvlJc w:val="left"/>
      <w:pPr>
        <w:ind w:left="64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B53231A"/>
    <w:multiLevelType w:val="hybridMultilevel"/>
    <w:tmpl w:val="9DB239BA"/>
    <w:lvl w:ilvl="0" w:tplc="F96405C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2EA98A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D468E2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578361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D0863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CBA649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1481B1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C8872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E46FB1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5521C47"/>
    <w:multiLevelType w:val="hybridMultilevel"/>
    <w:tmpl w:val="01486406"/>
    <w:lvl w:ilvl="0" w:tplc="D29A15A0">
      <w:start w:val="1"/>
      <w:numFmt w:val="bullet"/>
      <w:lvlText w:val=""/>
      <w:lvlJc w:val="left"/>
      <w:pPr>
        <w:ind w:left="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8388896">
      <w:start w:val="1"/>
      <w:numFmt w:val="bullet"/>
      <w:lvlText w:val="o"/>
      <w:lvlJc w:val="left"/>
      <w:pPr>
        <w:ind w:left="161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A92F050">
      <w:start w:val="1"/>
      <w:numFmt w:val="bullet"/>
      <w:lvlText w:val="▪"/>
      <w:lvlJc w:val="left"/>
      <w:pPr>
        <w:ind w:left="233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F2C6314">
      <w:start w:val="1"/>
      <w:numFmt w:val="bullet"/>
      <w:lvlText w:val="•"/>
      <w:lvlJc w:val="left"/>
      <w:pPr>
        <w:ind w:left="305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144DF7A">
      <w:start w:val="1"/>
      <w:numFmt w:val="bullet"/>
      <w:lvlText w:val="o"/>
      <w:lvlJc w:val="left"/>
      <w:pPr>
        <w:ind w:left="377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8ACF04E">
      <w:start w:val="1"/>
      <w:numFmt w:val="bullet"/>
      <w:lvlText w:val="▪"/>
      <w:lvlJc w:val="left"/>
      <w:pPr>
        <w:ind w:left="44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000CB1C">
      <w:start w:val="1"/>
      <w:numFmt w:val="bullet"/>
      <w:lvlText w:val="•"/>
      <w:lvlJc w:val="left"/>
      <w:pPr>
        <w:ind w:left="521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986433E">
      <w:start w:val="1"/>
      <w:numFmt w:val="bullet"/>
      <w:lvlText w:val="o"/>
      <w:lvlJc w:val="left"/>
      <w:pPr>
        <w:ind w:left="593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FB245E72">
      <w:start w:val="1"/>
      <w:numFmt w:val="bullet"/>
      <w:lvlText w:val="▪"/>
      <w:lvlJc w:val="left"/>
      <w:pPr>
        <w:ind w:left="665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5E64A5C"/>
    <w:multiLevelType w:val="hybridMultilevel"/>
    <w:tmpl w:val="EFE4BD0C"/>
    <w:lvl w:ilvl="0" w:tplc="1898FF4A">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7CAECE2">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C96A844">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D46D230">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3803478">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5A6A6DA">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C526798">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21C7C40">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8E0BD68">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6972CFE"/>
    <w:multiLevelType w:val="hybridMultilevel"/>
    <w:tmpl w:val="6C6E1482"/>
    <w:lvl w:ilvl="0" w:tplc="1BFAC84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5E7C22">
      <w:start w:val="1"/>
      <w:numFmt w:val="bullet"/>
      <w:lvlText w:val="o"/>
      <w:lvlJc w:val="left"/>
      <w:pPr>
        <w:ind w:left="1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04A5100">
      <w:start w:val="1"/>
      <w:numFmt w:val="bullet"/>
      <w:lvlText w:val="▪"/>
      <w:lvlJc w:val="left"/>
      <w:pPr>
        <w:ind w:left="19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1C2ACBA">
      <w:start w:val="1"/>
      <w:numFmt w:val="bullet"/>
      <w:lvlText w:val="•"/>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062DB0">
      <w:start w:val="1"/>
      <w:numFmt w:val="bullet"/>
      <w:lvlText w:val="o"/>
      <w:lvlJc w:val="left"/>
      <w:pPr>
        <w:ind w:left="33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ED88EB0">
      <w:start w:val="1"/>
      <w:numFmt w:val="bullet"/>
      <w:lvlText w:val="▪"/>
      <w:lvlJc w:val="left"/>
      <w:pPr>
        <w:ind w:left="40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29C4102">
      <w:start w:val="1"/>
      <w:numFmt w:val="bullet"/>
      <w:lvlText w:val="•"/>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64CA0B0">
      <w:start w:val="1"/>
      <w:numFmt w:val="bullet"/>
      <w:lvlText w:val="o"/>
      <w:lvlJc w:val="left"/>
      <w:pPr>
        <w:ind w:left="5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BEA5E0">
      <w:start w:val="1"/>
      <w:numFmt w:val="bullet"/>
      <w:lvlText w:val="▪"/>
      <w:lvlJc w:val="left"/>
      <w:pPr>
        <w:ind w:left="62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B830CE7"/>
    <w:multiLevelType w:val="hybridMultilevel"/>
    <w:tmpl w:val="6090DE98"/>
    <w:lvl w:ilvl="0" w:tplc="0F161CAC">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9524F4A">
      <w:start w:val="1"/>
      <w:numFmt w:val="bullet"/>
      <w:lvlText w:val="o"/>
      <w:lvlJc w:val="left"/>
      <w:pPr>
        <w:ind w:left="11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B1ACE14">
      <w:start w:val="1"/>
      <w:numFmt w:val="bullet"/>
      <w:lvlText w:val="▪"/>
      <w:lvlJc w:val="left"/>
      <w:pPr>
        <w:ind w:left="19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3F0E502">
      <w:start w:val="1"/>
      <w:numFmt w:val="bullet"/>
      <w:lvlText w:val="•"/>
      <w:lvlJc w:val="left"/>
      <w:pPr>
        <w:ind w:left="26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DC0606E">
      <w:start w:val="1"/>
      <w:numFmt w:val="bullet"/>
      <w:lvlText w:val="o"/>
      <w:lvlJc w:val="left"/>
      <w:pPr>
        <w:ind w:left="33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B2C260D2">
      <w:start w:val="1"/>
      <w:numFmt w:val="bullet"/>
      <w:lvlText w:val="▪"/>
      <w:lvlJc w:val="left"/>
      <w:pPr>
        <w:ind w:left="40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240C6D8">
      <w:start w:val="1"/>
      <w:numFmt w:val="bullet"/>
      <w:lvlText w:val="•"/>
      <w:lvlJc w:val="left"/>
      <w:pPr>
        <w:ind w:left="47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6289C9C">
      <w:start w:val="1"/>
      <w:numFmt w:val="bullet"/>
      <w:lvlText w:val="o"/>
      <w:lvlJc w:val="left"/>
      <w:pPr>
        <w:ind w:left="55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AED00840">
      <w:start w:val="1"/>
      <w:numFmt w:val="bullet"/>
      <w:lvlText w:val="▪"/>
      <w:lvlJc w:val="left"/>
      <w:pPr>
        <w:ind w:left="62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10A7E58"/>
    <w:multiLevelType w:val="hybridMultilevel"/>
    <w:tmpl w:val="B01EF106"/>
    <w:lvl w:ilvl="0" w:tplc="0F12681E">
      <w:start w:val="1"/>
      <w:numFmt w:val="bullet"/>
      <w:lvlText w:val="-"/>
      <w:lvlJc w:val="left"/>
      <w:pPr>
        <w:ind w:left="3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0A6A186">
      <w:start w:val="1"/>
      <w:numFmt w:val="bullet"/>
      <w:lvlText w:val="o"/>
      <w:lvlJc w:val="left"/>
      <w:pPr>
        <w:ind w:left="10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D0EF0F2">
      <w:start w:val="1"/>
      <w:numFmt w:val="bullet"/>
      <w:lvlText w:val="▪"/>
      <w:lvlJc w:val="left"/>
      <w:pPr>
        <w:ind w:left="18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576D2DA">
      <w:start w:val="1"/>
      <w:numFmt w:val="bullet"/>
      <w:lvlText w:val="•"/>
      <w:lvlJc w:val="left"/>
      <w:pPr>
        <w:ind w:left="25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00E061A">
      <w:start w:val="1"/>
      <w:numFmt w:val="bullet"/>
      <w:lvlText w:val="o"/>
      <w:lvlJc w:val="left"/>
      <w:pPr>
        <w:ind w:left="32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AD46886">
      <w:start w:val="1"/>
      <w:numFmt w:val="bullet"/>
      <w:lvlText w:val="▪"/>
      <w:lvlJc w:val="left"/>
      <w:pPr>
        <w:ind w:left="39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F78F1BC">
      <w:start w:val="1"/>
      <w:numFmt w:val="bullet"/>
      <w:lvlText w:val="•"/>
      <w:lvlJc w:val="left"/>
      <w:pPr>
        <w:ind w:left="46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53C205A">
      <w:start w:val="1"/>
      <w:numFmt w:val="bullet"/>
      <w:lvlText w:val="o"/>
      <w:lvlJc w:val="left"/>
      <w:pPr>
        <w:ind w:left="54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FD0C01C">
      <w:start w:val="1"/>
      <w:numFmt w:val="bullet"/>
      <w:lvlText w:val="▪"/>
      <w:lvlJc w:val="left"/>
      <w:pPr>
        <w:ind w:left="61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AE44D5A"/>
    <w:multiLevelType w:val="hybridMultilevel"/>
    <w:tmpl w:val="93EAFBEE"/>
    <w:lvl w:ilvl="0" w:tplc="A3FC9148">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E5466C0E">
      <w:start w:val="1"/>
      <w:numFmt w:val="bullet"/>
      <w:lvlText w:val="-"/>
      <w:lvlJc w:val="left"/>
      <w:pPr>
        <w:ind w:left="7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BF25254">
      <w:start w:val="1"/>
      <w:numFmt w:val="bullet"/>
      <w:lvlText w:val="▪"/>
      <w:lvlJc w:val="left"/>
      <w:pPr>
        <w:ind w:left="15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7D23EE2">
      <w:start w:val="1"/>
      <w:numFmt w:val="bullet"/>
      <w:lvlText w:val="•"/>
      <w:lvlJc w:val="left"/>
      <w:pPr>
        <w:ind w:left="22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88E6FD4">
      <w:start w:val="1"/>
      <w:numFmt w:val="bullet"/>
      <w:lvlText w:val="o"/>
      <w:lvlJc w:val="left"/>
      <w:pPr>
        <w:ind w:left="29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9E8CF98">
      <w:start w:val="1"/>
      <w:numFmt w:val="bullet"/>
      <w:lvlText w:val="▪"/>
      <w:lvlJc w:val="left"/>
      <w:pPr>
        <w:ind w:left="37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962E660">
      <w:start w:val="1"/>
      <w:numFmt w:val="bullet"/>
      <w:lvlText w:val="•"/>
      <w:lvlJc w:val="left"/>
      <w:pPr>
        <w:ind w:left="44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DA89F24">
      <w:start w:val="1"/>
      <w:numFmt w:val="bullet"/>
      <w:lvlText w:val="o"/>
      <w:lvlJc w:val="left"/>
      <w:pPr>
        <w:ind w:left="51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D9C8806">
      <w:start w:val="1"/>
      <w:numFmt w:val="bullet"/>
      <w:lvlText w:val="▪"/>
      <w:lvlJc w:val="left"/>
      <w:pPr>
        <w:ind w:left="58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19"/>
    <w:rsid w:val="00005619"/>
    <w:rsid w:val="0057319B"/>
    <w:rsid w:val="006E5F36"/>
    <w:rsid w:val="009E7922"/>
    <w:rsid w:val="00EF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AFBB"/>
  <w15:docId w15:val="{E7C619BD-EBB8-4587-8226-0C11A256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7" w:lineRule="auto"/>
      <w:ind w:left="10" w:hanging="10"/>
      <w:jc w:val="both"/>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184"/>
      <w:outlineLvl w:val="0"/>
    </w:pPr>
    <w:rPr>
      <w:rFonts w:ascii="Calibri" w:eastAsia="Calibri" w:hAnsi="Calibri" w:cs="Calibri"/>
      <w:b/>
      <w:color w:val="000000"/>
      <w:sz w:val="19"/>
    </w:rPr>
  </w:style>
  <w:style w:type="paragraph" w:styleId="Heading2">
    <w:name w:val="heading 2"/>
    <w:next w:val="Normal"/>
    <w:link w:val="Heading2Char"/>
    <w:uiPriority w:val="9"/>
    <w:unhideWhenUsed/>
    <w:qFormat/>
    <w:pPr>
      <w:keepNext/>
      <w:keepLines/>
      <w:spacing w:after="209"/>
      <w:ind w:left="10" w:hanging="10"/>
      <w:outlineLvl w:val="1"/>
    </w:pPr>
    <w:rPr>
      <w:rFonts w:ascii="Calibri" w:eastAsia="Calibri" w:hAnsi="Calibri" w:cs="Calibri"/>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6"/>
    </w:rPr>
  </w:style>
  <w:style w:type="character" w:customStyle="1" w:styleId="Heading1Char">
    <w:name w:val="Heading 1 Char"/>
    <w:link w:val="Heading1"/>
    <w:rPr>
      <w:rFonts w:ascii="Calibri" w:eastAsia="Calibri" w:hAnsi="Calibri" w:cs="Calibri"/>
      <w:b/>
      <w:color w:val="000000"/>
      <w:sz w:val="19"/>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footnotemark">
    <w:name w:val="footnote mark"/>
    <w:hidden/>
    <w:rPr>
      <w:rFonts w:ascii="Calibri" w:eastAsia="Calibri" w:hAnsi="Calibri" w:cs="Calibri"/>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3968</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Heiki Viisimaa</dc:creator>
  <cp:keywords/>
  <cp:lastModifiedBy>Heiki Viisimaa</cp:lastModifiedBy>
  <cp:revision>2</cp:revision>
  <dcterms:created xsi:type="dcterms:W3CDTF">2020-09-01T12:46:00Z</dcterms:created>
  <dcterms:modified xsi:type="dcterms:W3CDTF">2020-09-01T12:46:00Z</dcterms:modified>
</cp:coreProperties>
</file>